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DA" w:rsidRPr="00817DC4" w:rsidRDefault="007F2FFA" w:rsidP="007F2FFA">
      <w:pPr>
        <w:jc w:val="center"/>
        <w:rPr>
          <w:sz w:val="36"/>
          <w:szCs w:val="36"/>
        </w:rPr>
      </w:pPr>
      <w:r w:rsidRPr="00817DC4">
        <w:rPr>
          <w:rFonts w:hint="eastAsia"/>
          <w:sz w:val="36"/>
          <w:szCs w:val="36"/>
        </w:rPr>
        <w:t>主要标的信息</w:t>
      </w:r>
    </w:p>
    <w:p w:rsidR="007F2FFA" w:rsidRPr="007F2FFA" w:rsidRDefault="007F2FFA" w:rsidP="007F2FFA">
      <w:pPr>
        <w:pStyle w:val="a0"/>
      </w:pPr>
    </w:p>
    <w:tbl>
      <w:tblPr>
        <w:tblStyle w:val="a4"/>
        <w:tblW w:w="14283" w:type="dxa"/>
        <w:tblLook w:val="04A0"/>
      </w:tblPr>
      <w:tblGrid>
        <w:gridCol w:w="466"/>
        <w:gridCol w:w="683"/>
        <w:gridCol w:w="8315"/>
        <w:gridCol w:w="992"/>
        <w:gridCol w:w="992"/>
        <w:gridCol w:w="1418"/>
        <w:gridCol w:w="1417"/>
      </w:tblGrid>
      <w:tr w:rsidR="001666DA" w:rsidRPr="00F41EC5" w:rsidTr="00F41EC5">
        <w:tc>
          <w:tcPr>
            <w:tcW w:w="466" w:type="dxa"/>
            <w:vAlign w:val="center"/>
          </w:tcPr>
          <w:p w:rsidR="001666DA" w:rsidRPr="00F41EC5" w:rsidRDefault="001666DA" w:rsidP="002C3233">
            <w:pPr>
              <w:pStyle w:val="a0"/>
              <w:jc w:val="center"/>
              <w:rPr>
                <w:sz w:val="24"/>
                <w:szCs w:val="24"/>
              </w:rPr>
            </w:pPr>
            <w:r w:rsidRPr="00F41EC5">
              <w:rPr>
                <w:rFonts w:hint="eastAsia"/>
                <w:sz w:val="24"/>
                <w:szCs w:val="24"/>
              </w:rPr>
              <w:t>序号</w:t>
            </w:r>
          </w:p>
        </w:tc>
        <w:tc>
          <w:tcPr>
            <w:tcW w:w="683" w:type="dxa"/>
            <w:vAlign w:val="center"/>
          </w:tcPr>
          <w:p w:rsidR="001666DA" w:rsidRPr="00F41EC5" w:rsidRDefault="001666DA" w:rsidP="002C3233">
            <w:pPr>
              <w:pStyle w:val="a0"/>
              <w:jc w:val="center"/>
              <w:rPr>
                <w:sz w:val="24"/>
                <w:szCs w:val="24"/>
              </w:rPr>
            </w:pPr>
            <w:r w:rsidRPr="00F41EC5">
              <w:rPr>
                <w:rFonts w:eastAsiaTheme="minorEastAsia" w:hint="eastAsia"/>
                <w:sz w:val="24"/>
                <w:szCs w:val="24"/>
              </w:rPr>
              <w:t>标的名称</w:t>
            </w:r>
          </w:p>
        </w:tc>
        <w:tc>
          <w:tcPr>
            <w:tcW w:w="8315" w:type="dxa"/>
            <w:vAlign w:val="center"/>
          </w:tcPr>
          <w:p w:rsidR="001666DA" w:rsidRPr="00F41EC5" w:rsidRDefault="001666DA" w:rsidP="002C3233">
            <w:pPr>
              <w:pStyle w:val="a0"/>
              <w:jc w:val="center"/>
              <w:rPr>
                <w:sz w:val="24"/>
                <w:szCs w:val="24"/>
              </w:rPr>
            </w:pPr>
            <w:r w:rsidRPr="00F41EC5">
              <w:rPr>
                <w:rFonts w:hint="eastAsia"/>
                <w:sz w:val="24"/>
                <w:szCs w:val="24"/>
              </w:rPr>
              <w:t>具体服务内容（具体服务范围、服务</w:t>
            </w:r>
          </w:p>
          <w:p w:rsidR="001666DA" w:rsidRPr="00F41EC5" w:rsidRDefault="001666DA" w:rsidP="002C3233">
            <w:pPr>
              <w:pStyle w:val="a0"/>
              <w:jc w:val="center"/>
              <w:rPr>
                <w:sz w:val="24"/>
                <w:szCs w:val="24"/>
              </w:rPr>
            </w:pPr>
            <w:r w:rsidRPr="00F41EC5">
              <w:rPr>
                <w:rFonts w:hint="eastAsia"/>
                <w:sz w:val="24"/>
                <w:szCs w:val="24"/>
              </w:rPr>
              <w:t>时间、服务标准）</w:t>
            </w:r>
          </w:p>
        </w:tc>
        <w:tc>
          <w:tcPr>
            <w:tcW w:w="992" w:type="dxa"/>
            <w:vAlign w:val="center"/>
          </w:tcPr>
          <w:p w:rsidR="001666DA" w:rsidRPr="00F41EC5" w:rsidRDefault="001666DA" w:rsidP="002C3233">
            <w:pPr>
              <w:pStyle w:val="a0"/>
              <w:jc w:val="center"/>
              <w:rPr>
                <w:sz w:val="24"/>
                <w:szCs w:val="24"/>
              </w:rPr>
            </w:pPr>
            <w:r w:rsidRPr="00F41EC5">
              <w:rPr>
                <w:rFonts w:hint="eastAsia"/>
                <w:sz w:val="24"/>
                <w:szCs w:val="24"/>
              </w:rPr>
              <w:t>数量及</w:t>
            </w:r>
          </w:p>
          <w:p w:rsidR="001666DA" w:rsidRPr="00F41EC5" w:rsidRDefault="001666DA" w:rsidP="002C3233">
            <w:pPr>
              <w:pStyle w:val="a0"/>
              <w:jc w:val="center"/>
              <w:rPr>
                <w:sz w:val="24"/>
                <w:szCs w:val="24"/>
              </w:rPr>
            </w:pPr>
            <w:r w:rsidRPr="00F41EC5">
              <w:rPr>
                <w:rFonts w:hint="eastAsia"/>
                <w:sz w:val="24"/>
                <w:szCs w:val="24"/>
              </w:rPr>
              <w:t>单位①</w:t>
            </w:r>
          </w:p>
          <w:p w:rsidR="001666DA" w:rsidRPr="00F41EC5" w:rsidRDefault="001666DA" w:rsidP="002C3233">
            <w:pPr>
              <w:pStyle w:val="a0"/>
              <w:jc w:val="center"/>
              <w:rPr>
                <w:sz w:val="24"/>
                <w:szCs w:val="24"/>
              </w:rPr>
            </w:pPr>
          </w:p>
        </w:tc>
        <w:tc>
          <w:tcPr>
            <w:tcW w:w="992" w:type="dxa"/>
            <w:vAlign w:val="center"/>
          </w:tcPr>
          <w:p w:rsidR="001666DA" w:rsidRPr="00F41EC5" w:rsidRDefault="001666DA" w:rsidP="002C3233">
            <w:pPr>
              <w:widowControl/>
              <w:jc w:val="center"/>
              <w:rPr>
                <w:sz w:val="24"/>
              </w:rPr>
            </w:pPr>
            <w:r w:rsidRPr="00F41EC5">
              <w:rPr>
                <w:rFonts w:ascii="宋体" w:hAnsi="宋体" w:cs="宋体" w:hint="eastAsia"/>
                <w:color w:val="000000"/>
                <w:sz w:val="24"/>
              </w:rPr>
              <w:t>单价(元)</w:t>
            </w:r>
          </w:p>
          <w:p w:rsidR="001666DA" w:rsidRPr="00F41EC5" w:rsidRDefault="001666DA" w:rsidP="002C3233">
            <w:pPr>
              <w:widowControl/>
              <w:jc w:val="center"/>
              <w:rPr>
                <w:sz w:val="24"/>
              </w:rPr>
            </w:pPr>
            <w:r w:rsidRPr="00F41EC5">
              <w:rPr>
                <w:rFonts w:ascii="宋体" w:hAnsi="宋体" w:cs="宋体" w:hint="eastAsia"/>
                <w:color w:val="000000"/>
                <w:sz w:val="24"/>
              </w:rPr>
              <w:t>②</w:t>
            </w:r>
          </w:p>
        </w:tc>
        <w:tc>
          <w:tcPr>
            <w:tcW w:w="1418" w:type="dxa"/>
            <w:vAlign w:val="center"/>
          </w:tcPr>
          <w:p w:rsidR="001666DA" w:rsidRPr="00F41EC5" w:rsidRDefault="001666DA" w:rsidP="002C3233">
            <w:pPr>
              <w:widowControl/>
              <w:jc w:val="center"/>
              <w:rPr>
                <w:sz w:val="24"/>
              </w:rPr>
            </w:pPr>
            <w:r w:rsidRPr="00F41EC5">
              <w:rPr>
                <w:rFonts w:ascii="宋体" w:hAnsi="宋体" w:cs="宋体" w:hint="eastAsia"/>
                <w:color w:val="000000"/>
                <w:sz w:val="24"/>
              </w:rPr>
              <w:t>单项合价</w:t>
            </w:r>
          </w:p>
          <w:p w:rsidR="001666DA" w:rsidRPr="00F41EC5" w:rsidRDefault="001666DA" w:rsidP="002C3233">
            <w:pPr>
              <w:widowControl/>
              <w:jc w:val="center"/>
              <w:rPr>
                <w:sz w:val="24"/>
              </w:rPr>
            </w:pPr>
            <w:r w:rsidRPr="00F41EC5">
              <w:rPr>
                <w:rFonts w:ascii="宋体" w:hAnsi="宋体" w:cs="宋体" w:hint="eastAsia"/>
                <w:color w:val="000000"/>
                <w:sz w:val="24"/>
              </w:rPr>
              <w:t>（元）</w:t>
            </w:r>
          </w:p>
          <w:p w:rsidR="001666DA" w:rsidRPr="00F41EC5" w:rsidRDefault="001666DA" w:rsidP="002C3233">
            <w:pPr>
              <w:widowControl/>
              <w:jc w:val="center"/>
              <w:rPr>
                <w:sz w:val="24"/>
              </w:rPr>
            </w:pPr>
            <w:r w:rsidRPr="00F41EC5">
              <w:rPr>
                <w:rFonts w:ascii="宋体" w:hAnsi="宋体" w:cs="宋体" w:hint="eastAsia"/>
                <w:color w:val="000000"/>
                <w:sz w:val="24"/>
              </w:rPr>
              <w:t>③＝①×②</w:t>
            </w:r>
          </w:p>
          <w:p w:rsidR="001666DA" w:rsidRPr="00F41EC5" w:rsidRDefault="001666DA" w:rsidP="002C3233">
            <w:pPr>
              <w:widowControl/>
              <w:jc w:val="center"/>
              <w:rPr>
                <w:rFonts w:ascii="宋体" w:hAnsi="宋体" w:cs="宋体"/>
                <w:color w:val="000000"/>
                <w:sz w:val="24"/>
              </w:rPr>
            </w:pPr>
          </w:p>
        </w:tc>
        <w:tc>
          <w:tcPr>
            <w:tcW w:w="1417" w:type="dxa"/>
            <w:vAlign w:val="center"/>
          </w:tcPr>
          <w:p w:rsidR="001666DA" w:rsidRPr="00F41EC5" w:rsidRDefault="001666DA" w:rsidP="002C3233">
            <w:pPr>
              <w:widowControl/>
              <w:jc w:val="center"/>
              <w:rPr>
                <w:rFonts w:ascii="宋体" w:hAnsi="宋体" w:cs="宋体"/>
                <w:color w:val="000000"/>
                <w:sz w:val="24"/>
              </w:rPr>
            </w:pPr>
            <w:r w:rsidRPr="00F41EC5">
              <w:rPr>
                <w:rFonts w:ascii="宋体" w:hAnsi="宋体" w:cs="宋体" w:hint="eastAsia"/>
                <w:color w:val="000000"/>
                <w:sz w:val="24"/>
              </w:rPr>
              <w:t>服务期限</w:t>
            </w:r>
          </w:p>
          <w:p w:rsidR="001666DA" w:rsidRPr="00F41EC5" w:rsidRDefault="001666DA" w:rsidP="002C3233">
            <w:pPr>
              <w:widowControl/>
              <w:jc w:val="center"/>
              <w:rPr>
                <w:rFonts w:ascii="宋体" w:hAnsi="宋体" w:cs="宋体"/>
                <w:color w:val="000000"/>
                <w:sz w:val="24"/>
              </w:rPr>
            </w:pPr>
          </w:p>
        </w:tc>
      </w:tr>
      <w:tr w:rsidR="001666DA" w:rsidRPr="00F41EC5" w:rsidTr="00F41EC5">
        <w:tc>
          <w:tcPr>
            <w:tcW w:w="466" w:type="dxa"/>
            <w:vAlign w:val="center"/>
          </w:tcPr>
          <w:p w:rsidR="001666DA" w:rsidRPr="00F41EC5" w:rsidRDefault="001666DA" w:rsidP="002C3233">
            <w:pPr>
              <w:spacing w:line="240" w:lineRule="exact"/>
              <w:jc w:val="center"/>
              <w:rPr>
                <w:sz w:val="24"/>
              </w:rPr>
            </w:pPr>
            <w:r w:rsidRPr="00F41EC5">
              <w:rPr>
                <w:rFonts w:ascii="宋体" w:hAnsi="宋体" w:cs="宋体" w:hint="eastAsia"/>
                <w:sz w:val="24"/>
              </w:rPr>
              <w:t>1</w:t>
            </w:r>
          </w:p>
        </w:tc>
        <w:tc>
          <w:tcPr>
            <w:tcW w:w="683" w:type="dxa"/>
            <w:vAlign w:val="center"/>
          </w:tcPr>
          <w:p w:rsidR="001666DA" w:rsidRPr="00F41EC5" w:rsidRDefault="000B6549" w:rsidP="002C3233">
            <w:pPr>
              <w:spacing w:line="320" w:lineRule="exact"/>
              <w:jc w:val="left"/>
              <w:rPr>
                <w:sz w:val="24"/>
              </w:rPr>
            </w:pPr>
            <w:r w:rsidRPr="00F41EC5">
              <w:rPr>
                <w:rFonts w:ascii="宋体" w:hAnsi="宋体" w:cs="宋体" w:hint="eastAsia"/>
                <w:sz w:val="24"/>
              </w:rPr>
              <w:t>防城港市高中新课改培训</w:t>
            </w:r>
          </w:p>
        </w:tc>
        <w:tc>
          <w:tcPr>
            <w:tcW w:w="8315" w:type="dxa"/>
            <w:vAlign w:val="center"/>
          </w:tcPr>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1.培训对象：全市普通高中（高一）学科教师。</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2.培训人数：61人。</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3.培训时间：2023年6月，共8天。</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4.培训地点：广西区外。</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5.培训内容：新高考综合改革政策解读、新高考模式下教学理念与方式转变、学科教学设计与实施策略、学科核心素养测评与学业质量评价标准、高考命题趋势与备课策略等。</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6.培训目标：通过培训，使全市高一学科教师加深对新高考综合改革政策的理解，促进教师教学理念与方式的转变，增强教师的课程意识，提升教师实施课程方案和课程标准的能力。</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7.培训方式：集中培训+基地研修+小组研讨。</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8.培训团队：培训专家团队由具有丰富培训经验的一线专家组成。其中一线学科名师、一线优秀教研员、骨干教师和培训管理者比例达到60%以上，高级职称以上的教师比例不少于70%，广西区外培训专家比例不少于40%。</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9.培训管理：组建培训管理团队，制定完善的培训管理制度，加强项目管理。充分调动和整合各方优质资源，提供项目实施期间所需的培训（授课）场所、授课所需教学设备设施、参训教师必要的学习资料等教学保障条件；提供良好的后勤保障条件，确保安全。严格考勤管理，对按要求完成培训学习并经考核合格的参训学员颁发培训结业证书。</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lastRenderedPageBreak/>
              <w:t>10.培训课程内容安排及组织教师参训：签订合同后，由成交供应商按照本项目要求提供项目实施方案，合理安排培训课程，经采购人审核同意后组织实施并组织教师参训。</w:t>
            </w:r>
          </w:p>
          <w:p w:rsidR="001666DA" w:rsidRPr="00F41EC5" w:rsidRDefault="000B6549" w:rsidP="00F41EC5">
            <w:pPr>
              <w:adjustRightInd w:val="0"/>
              <w:snapToGrid w:val="0"/>
              <w:ind w:firstLineChars="200" w:firstLine="480"/>
              <w:jc w:val="left"/>
              <w:rPr>
                <w:b/>
                <w:sz w:val="24"/>
              </w:rPr>
            </w:pPr>
            <w:r w:rsidRPr="00F41EC5">
              <w:rPr>
                <w:rFonts w:ascii="宋体" w:hAnsi="宋体" w:cs="宋体" w:hint="eastAsia"/>
                <w:sz w:val="24"/>
              </w:rPr>
              <w:t>11.培训材料收集归档要求：培训结束后10个工作日内向采购人提交完整的培训过程材料，包括培训项目实施方案、培训项目总结报告、参训学员名单信息和考核结果、培训签到表、培训课程安排表、培训工作简报、培训绩效自评报告、学员培训满意度测评问卷及问卷分析报告、优秀典型案例、培训的过程照片等。</w:t>
            </w:r>
          </w:p>
        </w:tc>
        <w:tc>
          <w:tcPr>
            <w:tcW w:w="992" w:type="dxa"/>
            <w:vAlign w:val="center"/>
          </w:tcPr>
          <w:p w:rsidR="001666DA" w:rsidRPr="00F41EC5" w:rsidRDefault="00817DC4" w:rsidP="002C3233">
            <w:pPr>
              <w:spacing w:line="320" w:lineRule="exact"/>
              <w:jc w:val="center"/>
              <w:rPr>
                <w:sz w:val="24"/>
              </w:rPr>
            </w:pPr>
            <w:r w:rsidRPr="00F41EC5">
              <w:rPr>
                <w:rFonts w:ascii="宋体" w:hAnsi="宋体" w:cs="宋体" w:hint="eastAsia"/>
                <w:sz w:val="24"/>
              </w:rPr>
              <w:lastRenderedPageBreak/>
              <w:t>61</w:t>
            </w:r>
            <w:r w:rsidR="001666DA" w:rsidRPr="00F41EC5">
              <w:rPr>
                <w:rFonts w:ascii="宋体" w:hAnsi="宋体" w:cs="宋体" w:hint="eastAsia"/>
                <w:sz w:val="24"/>
              </w:rPr>
              <w:t>人</w:t>
            </w:r>
          </w:p>
        </w:tc>
        <w:tc>
          <w:tcPr>
            <w:tcW w:w="992" w:type="dxa"/>
            <w:vAlign w:val="center"/>
          </w:tcPr>
          <w:p w:rsidR="00F41EC5" w:rsidRDefault="00F41EC5" w:rsidP="002C3233">
            <w:pPr>
              <w:widowControl/>
              <w:jc w:val="left"/>
              <w:rPr>
                <w:rFonts w:ascii="宋体" w:hAnsi="宋体" w:cs="宋体" w:hint="eastAsia"/>
                <w:color w:val="000000"/>
                <w:sz w:val="24"/>
              </w:rPr>
            </w:pPr>
          </w:p>
          <w:p w:rsidR="001666DA" w:rsidRPr="00F41EC5" w:rsidRDefault="00817DC4" w:rsidP="002C3233">
            <w:pPr>
              <w:widowControl/>
              <w:jc w:val="left"/>
              <w:rPr>
                <w:sz w:val="24"/>
              </w:rPr>
            </w:pPr>
            <w:r w:rsidRPr="00F41EC5">
              <w:rPr>
                <w:rFonts w:ascii="宋体" w:hAnsi="宋体" w:cs="宋体" w:hint="eastAsia"/>
                <w:color w:val="000000"/>
                <w:sz w:val="24"/>
              </w:rPr>
              <w:t>220000</w:t>
            </w:r>
          </w:p>
          <w:p w:rsidR="001666DA" w:rsidRPr="00F41EC5" w:rsidRDefault="001666DA" w:rsidP="002C3233">
            <w:pPr>
              <w:widowControl/>
              <w:jc w:val="center"/>
              <w:rPr>
                <w:rFonts w:ascii="宋体" w:hAnsi="宋体" w:cs="宋体"/>
                <w:color w:val="000000"/>
                <w:sz w:val="24"/>
              </w:rPr>
            </w:pPr>
          </w:p>
        </w:tc>
        <w:tc>
          <w:tcPr>
            <w:tcW w:w="1418" w:type="dxa"/>
            <w:vAlign w:val="center"/>
          </w:tcPr>
          <w:p w:rsidR="00F41EC5" w:rsidRDefault="00F41EC5" w:rsidP="002C3233">
            <w:pPr>
              <w:widowControl/>
              <w:jc w:val="left"/>
              <w:rPr>
                <w:rFonts w:ascii="宋体" w:hAnsi="宋体" w:cs="宋体" w:hint="eastAsia"/>
                <w:color w:val="000000"/>
                <w:sz w:val="24"/>
              </w:rPr>
            </w:pPr>
          </w:p>
          <w:p w:rsidR="001666DA" w:rsidRPr="00F41EC5" w:rsidRDefault="001666DA" w:rsidP="002C3233">
            <w:pPr>
              <w:widowControl/>
              <w:jc w:val="left"/>
              <w:rPr>
                <w:sz w:val="24"/>
              </w:rPr>
            </w:pPr>
            <w:r w:rsidRPr="00F41EC5">
              <w:rPr>
                <w:rFonts w:ascii="宋体" w:hAnsi="宋体" w:cs="宋体" w:hint="eastAsia"/>
                <w:color w:val="000000"/>
                <w:sz w:val="24"/>
              </w:rPr>
              <w:t>2</w:t>
            </w:r>
            <w:r w:rsidR="00817DC4" w:rsidRPr="00F41EC5">
              <w:rPr>
                <w:rFonts w:ascii="宋体" w:hAnsi="宋体" w:cs="宋体" w:hint="eastAsia"/>
                <w:color w:val="000000"/>
                <w:sz w:val="24"/>
              </w:rPr>
              <w:t>2</w:t>
            </w:r>
            <w:r w:rsidRPr="00F41EC5">
              <w:rPr>
                <w:rFonts w:ascii="宋体" w:hAnsi="宋体" w:cs="宋体" w:hint="eastAsia"/>
                <w:color w:val="000000"/>
                <w:sz w:val="24"/>
              </w:rPr>
              <w:t>0000</w:t>
            </w:r>
          </w:p>
          <w:p w:rsidR="001666DA" w:rsidRPr="00F41EC5" w:rsidRDefault="001666DA" w:rsidP="002C3233">
            <w:pPr>
              <w:widowControl/>
              <w:jc w:val="center"/>
              <w:rPr>
                <w:rFonts w:ascii="宋体" w:hAnsi="宋体" w:cs="宋体"/>
                <w:color w:val="000000"/>
                <w:sz w:val="24"/>
              </w:rPr>
            </w:pPr>
          </w:p>
        </w:tc>
        <w:tc>
          <w:tcPr>
            <w:tcW w:w="1417" w:type="dxa"/>
            <w:vAlign w:val="center"/>
          </w:tcPr>
          <w:p w:rsidR="001666DA" w:rsidRPr="00F41EC5" w:rsidRDefault="001666DA" w:rsidP="002C3233">
            <w:pPr>
              <w:widowControl/>
              <w:jc w:val="center"/>
              <w:rPr>
                <w:rFonts w:ascii="宋体" w:hAnsi="宋体" w:cs="宋体"/>
                <w:color w:val="000000"/>
                <w:sz w:val="24"/>
              </w:rPr>
            </w:pPr>
            <w:r w:rsidRPr="00F41EC5">
              <w:rPr>
                <w:rFonts w:ascii="宋体" w:hAnsi="宋体" w:cs="宋体" w:hint="eastAsia"/>
                <w:sz w:val="24"/>
              </w:rPr>
              <w:t>签订合同后，采购人根据实际情况制定具体培训开始的时间及培训期限（含跟踪服务指导期限），成交供应商接到采购人通知后按磋商文件和采购人要求以及响应文件承诺提供培训服务</w:t>
            </w:r>
            <w:r w:rsidR="00817DC4" w:rsidRPr="00F41EC5">
              <w:rPr>
                <w:rFonts w:ascii="宋体" w:hAnsi="宋体" w:cs="宋体" w:hint="eastAsia"/>
                <w:sz w:val="24"/>
              </w:rPr>
              <w:t>。</w:t>
            </w:r>
          </w:p>
        </w:tc>
      </w:tr>
      <w:tr w:rsidR="001666DA" w:rsidRPr="00F41EC5" w:rsidTr="00F41EC5">
        <w:tc>
          <w:tcPr>
            <w:tcW w:w="466" w:type="dxa"/>
            <w:vAlign w:val="center"/>
          </w:tcPr>
          <w:p w:rsidR="001666DA" w:rsidRPr="00F41EC5" w:rsidRDefault="001666DA" w:rsidP="002C3233">
            <w:pPr>
              <w:spacing w:line="240" w:lineRule="exact"/>
              <w:jc w:val="center"/>
              <w:rPr>
                <w:sz w:val="24"/>
              </w:rPr>
            </w:pPr>
            <w:r w:rsidRPr="00F41EC5">
              <w:rPr>
                <w:rFonts w:ascii="宋体" w:hAnsi="宋体" w:cs="宋体" w:hint="eastAsia"/>
                <w:sz w:val="24"/>
              </w:rPr>
              <w:lastRenderedPageBreak/>
              <w:t>2</w:t>
            </w:r>
          </w:p>
        </w:tc>
        <w:tc>
          <w:tcPr>
            <w:tcW w:w="683" w:type="dxa"/>
            <w:vAlign w:val="center"/>
          </w:tcPr>
          <w:p w:rsidR="001666DA" w:rsidRPr="00F41EC5" w:rsidRDefault="000B6549" w:rsidP="000B6549">
            <w:pPr>
              <w:spacing w:line="320" w:lineRule="exact"/>
              <w:jc w:val="left"/>
              <w:rPr>
                <w:sz w:val="24"/>
              </w:rPr>
            </w:pPr>
            <w:r w:rsidRPr="00F41EC5">
              <w:rPr>
                <w:rFonts w:ascii="宋体" w:hAnsi="宋体" w:cs="宋体" w:hint="eastAsia"/>
                <w:sz w:val="24"/>
              </w:rPr>
              <w:t>防城港市中小学名班主任培育工程</w:t>
            </w:r>
          </w:p>
        </w:tc>
        <w:tc>
          <w:tcPr>
            <w:tcW w:w="8315" w:type="dxa"/>
            <w:vAlign w:val="center"/>
          </w:tcPr>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1.培训对象：全市中小学名班主任培养对象。</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2.培训人数：50人。</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3.培训时间：2023年6月，共8天。</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4.培训地点：广西区外。</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5.培训内容：以家庭教育指导专题为主要培训内容，从家庭教育、班级管理理念和模式、角色定位、班级文化、工作室创建与运行能力等角度开展培训。</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6.培训目标：通过培训，进一步拓宽参训学员的教育教学视野，完善学员的结识结构，使参训学员具有先进的教育和班级管理理念，班主任应具备的六种能力（组织管理能力、创新学习能力、思想教育能力、交往和表达能力、自我反思能力和自我控制能力）进一步提升，初步具备创建班主任工作室的能力，班级管理影响力进一步提高。</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7.培训方式：集中培训+基地研修+返岗实践。</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8.培训团队：培训专家团队由具有丰富培训经验的一线专家组成。其中一线学科名师、一线优秀教研员、骨干教师和培训管理者比例达到60%以上，高级职称以上的教师比例不少于70%，广西区外培训专家比例不少于40%。</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9.培训管理：组建培训管理团队，制定完善的培训管理制度，加强项目管理。充分调动和整合各方优质资源，提供项目实施期间所需的培训（授课）场所、授课所需教学设备设施、参训教师必要的学习资料等教学保障条件；提供</w:t>
            </w:r>
            <w:r w:rsidRPr="00F41EC5">
              <w:rPr>
                <w:rFonts w:ascii="宋体" w:hAnsi="宋体" w:cs="宋体" w:hint="eastAsia"/>
                <w:sz w:val="24"/>
              </w:rPr>
              <w:lastRenderedPageBreak/>
              <w:t>良好的后勤保障条件，确保安全。严格考勤管理，对按要求完成培训学习并经考核合格的参训学员颁发培训结业证书。</w:t>
            </w:r>
          </w:p>
          <w:p w:rsidR="000B6549" w:rsidRPr="00F41EC5" w:rsidRDefault="000B6549" w:rsidP="00F41EC5">
            <w:pPr>
              <w:ind w:firstLineChars="200" w:firstLine="480"/>
              <w:jc w:val="left"/>
              <w:rPr>
                <w:rFonts w:ascii="宋体" w:hAnsi="宋体" w:cs="宋体"/>
                <w:sz w:val="24"/>
              </w:rPr>
            </w:pPr>
            <w:r w:rsidRPr="00F41EC5">
              <w:rPr>
                <w:rFonts w:ascii="宋体" w:hAnsi="宋体" w:cs="宋体" w:hint="eastAsia"/>
                <w:sz w:val="24"/>
              </w:rPr>
              <w:t>10.培训课程内容安排及组织教师参训：签订合同后，由成交供应商按照本项目要求提供项目实施方案，合理安排培训课程，经采购人审核同意后组织实施并组织教师参训。</w:t>
            </w:r>
          </w:p>
          <w:p w:rsidR="001666DA" w:rsidRPr="00F41EC5" w:rsidRDefault="000B6549" w:rsidP="00F41EC5">
            <w:pPr>
              <w:adjustRightInd w:val="0"/>
              <w:snapToGrid w:val="0"/>
              <w:ind w:firstLineChars="200" w:firstLine="480"/>
              <w:jc w:val="left"/>
              <w:rPr>
                <w:sz w:val="24"/>
              </w:rPr>
            </w:pPr>
            <w:r w:rsidRPr="00F41EC5">
              <w:rPr>
                <w:rFonts w:ascii="宋体" w:hAnsi="宋体" w:cs="宋体" w:hint="eastAsia"/>
                <w:sz w:val="24"/>
              </w:rPr>
              <w:t>11.培训材料收集归档：培训结束后10个工作日内向采购人提交完整的培训过程材料，包括培训项目实施方案、培训项目总结报告、参训学员名单信息和考核结果、培训签到表、培训课程安排表、培训工作简报、培训绩效自评报告、学员培训满意度测评问卷及问卷分析报告、优秀典型案例、培训的过程照片等。</w:t>
            </w:r>
          </w:p>
        </w:tc>
        <w:tc>
          <w:tcPr>
            <w:tcW w:w="992" w:type="dxa"/>
            <w:vAlign w:val="center"/>
          </w:tcPr>
          <w:p w:rsidR="001666DA" w:rsidRPr="00F41EC5" w:rsidRDefault="001666DA" w:rsidP="002C3233">
            <w:pPr>
              <w:spacing w:line="320" w:lineRule="exact"/>
              <w:jc w:val="center"/>
              <w:rPr>
                <w:sz w:val="24"/>
              </w:rPr>
            </w:pPr>
            <w:r w:rsidRPr="00F41EC5">
              <w:rPr>
                <w:rFonts w:ascii="宋体" w:hAnsi="宋体" w:cs="宋体" w:hint="eastAsia"/>
                <w:sz w:val="24"/>
              </w:rPr>
              <w:lastRenderedPageBreak/>
              <w:t>50人</w:t>
            </w:r>
          </w:p>
        </w:tc>
        <w:tc>
          <w:tcPr>
            <w:tcW w:w="992" w:type="dxa"/>
            <w:vAlign w:val="center"/>
          </w:tcPr>
          <w:p w:rsidR="00F41EC5" w:rsidRDefault="00F41EC5" w:rsidP="00F41EC5">
            <w:pPr>
              <w:widowControl/>
              <w:jc w:val="left"/>
              <w:rPr>
                <w:rFonts w:ascii="宋体" w:hAnsi="宋体" w:cs="宋体" w:hint="eastAsia"/>
                <w:color w:val="000000"/>
                <w:sz w:val="24"/>
              </w:rPr>
            </w:pPr>
          </w:p>
          <w:p w:rsidR="001666DA" w:rsidRPr="00F41EC5" w:rsidRDefault="00817DC4" w:rsidP="00F41EC5">
            <w:pPr>
              <w:widowControl/>
              <w:jc w:val="left"/>
              <w:rPr>
                <w:sz w:val="24"/>
              </w:rPr>
            </w:pPr>
            <w:r w:rsidRPr="00F41EC5">
              <w:rPr>
                <w:rFonts w:ascii="宋体" w:hAnsi="宋体" w:cs="宋体" w:hint="eastAsia"/>
                <w:color w:val="000000"/>
                <w:sz w:val="24"/>
              </w:rPr>
              <w:t>180000</w:t>
            </w:r>
          </w:p>
          <w:p w:rsidR="001666DA" w:rsidRPr="00F41EC5" w:rsidRDefault="001666DA" w:rsidP="002C3233">
            <w:pPr>
              <w:widowControl/>
              <w:jc w:val="center"/>
              <w:rPr>
                <w:rFonts w:ascii="宋体" w:hAnsi="宋体" w:cs="宋体"/>
                <w:color w:val="000000"/>
                <w:sz w:val="24"/>
              </w:rPr>
            </w:pPr>
          </w:p>
        </w:tc>
        <w:tc>
          <w:tcPr>
            <w:tcW w:w="1418" w:type="dxa"/>
            <w:vAlign w:val="center"/>
          </w:tcPr>
          <w:p w:rsidR="001666DA" w:rsidRPr="00F41EC5" w:rsidRDefault="00817DC4" w:rsidP="002C3233">
            <w:pPr>
              <w:widowControl/>
              <w:jc w:val="center"/>
              <w:rPr>
                <w:rFonts w:ascii="宋体" w:hAnsi="宋体" w:cs="宋体"/>
                <w:color w:val="000000"/>
                <w:sz w:val="24"/>
              </w:rPr>
            </w:pPr>
            <w:r w:rsidRPr="00F41EC5">
              <w:rPr>
                <w:rFonts w:ascii="宋体" w:hAnsi="宋体" w:cs="宋体" w:hint="eastAsia"/>
                <w:color w:val="000000"/>
                <w:sz w:val="24"/>
              </w:rPr>
              <w:t>18</w:t>
            </w:r>
            <w:r w:rsidR="001666DA" w:rsidRPr="00F41EC5">
              <w:rPr>
                <w:rFonts w:ascii="宋体" w:hAnsi="宋体" w:cs="宋体" w:hint="eastAsia"/>
                <w:color w:val="000000"/>
                <w:sz w:val="24"/>
              </w:rPr>
              <w:t>0000</w:t>
            </w:r>
          </w:p>
        </w:tc>
        <w:tc>
          <w:tcPr>
            <w:tcW w:w="1417" w:type="dxa"/>
            <w:vAlign w:val="center"/>
          </w:tcPr>
          <w:p w:rsidR="001666DA" w:rsidRPr="00F41EC5" w:rsidRDefault="00817DC4" w:rsidP="002C3233">
            <w:pPr>
              <w:widowControl/>
              <w:jc w:val="center"/>
              <w:rPr>
                <w:rFonts w:ascii="宋体" w:hAnsi="宋体" w:cs="宋体"/>
                <w:color w:val="000000"/>
                <w:sz w:val="24"/>
              </w:rPr>
            </w:pPr>
            <w:r w:rsidRPr="00F41EC5">
              <w:rPr>
                <w:rFonts w:ascii="宋体" w:hAnsi="宋体" w:cs="宋体" w:hint="eastAsia"/>
                <w:sz w:val="24"/>
              </w:rPr>
              <w:t>签订合同后，采购人根据实际情况制定具体培训开始的时间及培训期限（含跟踪服务指导期限），成交供应商接到采购人通知后按磋商文件和采购人要求以及响应文件承诺提供培训服务。</w:t>
            </w:r>
          </w:p>
        </w:tc>
      </w:tr>
    </w:tbl>
    <w:p w:rsidR="001666DA" w:rsidRPr="00F41EC5" w:rsidRDefault="001666DA">
      <w:pPr>
        <w:rPr>
          <w:sz w:val="24"/>
        </w:rPr>
      </w:pPr>
    </w:p>
    <w:p w:rsidR="001666DA" w:rsidRPr="00F41EC5" w:rsidRDefault="001666DA" w:rsidP="001666DA">
      <w:pPr>
        <w:pStyle w:val="a0"/>
        <w:rPr>
          <w:sz w:val="24"/>
          <w:szCs w:val="24"/>
        </w:rPr>
      </w:pPr>
    </w:p>
    <w:p w:rsidR="001666DA" w:rsidRPr="00F41EC5" w:rsidRDefault="001666DA" w:rsidP="001666DA">
      <w:pPr>
        <w:rPr>
          <w:sz w:val="24"/>
        </w:rPr>
      </w:pPr>
    </w:p>
    <w:p w:rsidR="001666DA" w:rsidRPr="00F41EC5" w:rsidRDefault="001666DA" w:rsidP="001666DA">
      <w:pPr>
        <w:pStyle w:val="a0"/>
        <w:rPr>
          <w:sz w:val="24"/>
          <w:szCs w:val="24"/>
        </w:rPr>
      </w:pPr>
    </w:p>
    <w:p w:rsidR="001666DA" w:rsidRPr="001666DA" w:rsidRDefault="001666DA" w:rsidP="001666DA"/>
    <w:sectPr w:rsidR="001666DA" w:rsidRPr="001666DA" w:rsidSect="00F41EC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6DA"/>
    <w:rsid w:val="00023E2B"/>
    <w:rsid w:val="000B6549"/>
    <w:rsid w:val="001666DA"/>
    <w:rsid w:val="007F2FFA"/>
    <w:rsid w:val="00817DC4"/>
    <w:rsid w:val="00BE3FDA"/>
    <w:rsid w:val="00F41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66DA"/>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unhideWhenUsed/>
    <w:qFormat/>
    <w:rsid w:val="001666DA"/>
    <w:pPr>
      <w:tabs>
        <w:tab w:val="center" w:pos="4153"/>
        <w:tab w:val="right" w:pos="8306"/>
      </w:tabs>
      <w:snapToGrid w:val="0"/>
      <w:jc w:val="left"/>
    </w:pPr>
    <w:rPr>
      <w:kern w:val="0"/>
      <w:sz w:val="18"/>
      <w:szCs w:val="18"/>
    </w:rPr>
  </w:style>
  <w:style w:type="character" w:customStyle="1" w:styleId="Char">
    <w:name w:val="页脚 Char"/>
    <w:basedOn w:val="a1"/>
    <w:link w:val="a0"/>
    <w:uiPriority w:val="99"/>
    <w:rsid w:val="001666DA"/>
    <w:rPr>
      <w:kern w:val="0"/>
      <w:sz w:val="18"/>
      <w:szCs w:val="18"/>
    </w:rPr>
  </w:style>
  <w:style w:type="table" w:styleId="a4">
    <w:name w:val="Table Grid"/>
    <w:basedOn w:val="a2"/>
    <w:qFormat/>
    <w:rsid w:val="001666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C327EB-4022-4A0C-AABD-644749C1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2023-05-30T01:17:00Z</dcterms:created>
  <dcterms:modified xsi:type="dcterms:W3CDTF">2023-05-30T07:05:00Z</dcterms:modified>
</cp:coreProperties>
</file>