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rPr>
          <w:color w:val="auto"/>
          <w:sz w:val="56"/>
          <w:szCs w:val="22"/>
          <w:highlight w:val="none"/>
        </w:rPr>
      </w:pPr>
      <w:r>
        <w:rPr>
          <w:color w:val="auto"/>
          <w:highlight w:val="none"/>
        </w:rPr>
        <w:drawing>
          <wp:anchor distT="0" distB="0" distL="0" distR="0" simplePos="0" relativeHeight="251661312" behindDoc="1" locked="0" layoutInCell="1" allowOverlap="1">
            <wp:simplePos x="0" y="0"/>
            <wp:positionH relativeFrom="column">
              <wp:posOffset>-868680</wp:posOffset>
            </wp:positionH>
            <wp:positionV relativeFrom="paragraph">
              <wp:posOffset>-493395</wp:posOffset>
            </wp:positionV>
            <wp:extent cx="1561465" cy="1706880"/>
            <wp:effectExtent l="0" t="0" r="0" b="0"/>
            <wp:wrapNone/>
            <wp:docPr id="1026" name="图片 3"/>
            <wp:cNvGraphicFramePr/>
            <a:graphic xmlns:a="http://schemas.openxmlformats.org/drawingml/2006/main">
              <a:graphicData uri="http://schemas.openxmlformats.org/drawingml/2006/picture">
                <pic:pic xmlns:pic="http://schemas.openxmlformats.org/drawingml/2006/picture">
                  <pic:nvPicPr>
                    <pic:cNvPr id="1026" name="图片 3"/>
                    <pic:cNvPicPr/>
                  </pic:nvPicPr>
                  <pic:blipFill>
                    <a:blip r:embed="rId14" cstate="print"/>
                    <a:srcRect/>
                    <a:stretch>
                      <a:fillRect/>
                    </a:stretch>
                  </pic:blipFill>
                  <pic:spPr>
                    <a:xfrm>
                      <a:off x="0" y="0"/>
                      <a:ext cx="1561465" cy="1706879"/>
                    </a:xfrm>
                    <a:prstGeom prst="rect">
                      <a:avLst/>
                    </a:prstGeom>
                    <a:ln>
                      <a:noFill/>
                    </a:ln>
                  </pic:spPr>
                </pic:pic>
              </a:graphicData>
            </a:graphic>
          </wp:anchor>
        </w:drawing>
      </w:r>
      <w:r>
        <w:rPr>
          <w:rFonts w:hint="eastAsia"/>
          <w:color w:val="auto"/>
          <w:sz w:val="56"/>
          <w:szCs w:val="22"/>
          <w:highlight w:val="none"/>
        </w:rPr>
        <w:t>广西科联招标中心有限公司</w:t>
      </w:r>
    </w:p>
    <w:p>
      <w:pPr>
        <w:ind w:firstLine="480" w:firstLineChars="200"/>
        <w:jc w:val="center"/>
        <w:rPr>
          <w:color w:val="auto"/>
          <w:sz w:val="24"/>
          <w:szCs w:val="21"/>
          <w:highlight w:val="none"/>
        </w:rPr>
      </w:pPr>
      <w:r>
        <w:rPr>
          <w:color w:val="auto"/>
          <w:sz w:val="24"/>
          <w:szCs w:val="21"/>
          <w:highlight w:val="none"/>
        </w:rPr>
        <w:t>GUANGXI   KELIAN  ZHAOBIAO   ZHONGXIN YOUXIAN GONGSI</w:t>
      </w:r>
    </w:p>
    <w:p>
      <w:pPr>
        <w:ind w:firstLine="640" w:firstLineChars="200"/>
        <w:rPr>
          <w:color w:val="auto"/>
          <w:sz w:val="32"/>
          <w:highlight w:val="none"/>
          <w:u w:val="single"/>
        </w:rPr>
      </w:pPr>
      <w:r>
        <w:rPr>
          <w:color w:val="auto"/>
          <w:sz w:val="32"/>
          <w:highlight w:val="none"/>
        </w:rPr>
        <mc:AlternateContent>
          <mc:Choice Requires="wps">
            <w:drawing>
              <wp:anchor distT="0" distB="0" distL="114300" distR="114300" simplePos="0" relativeHeight="251662336" behindDoc="0" locked="0" layoutInCell="1" allowOverlap="1">
                <wp:simplePos x="0" y="0"/>
                <wp:positionH relativeFrom="column">
                  <wp:posOffset>526415</wp:posOffset>
                </wp:positionH>
                <wp:positionV relativeFrom="paragraph">
                  <wp:posOffset>81915</wp:posOffset>
                </wp:positionV>
                <wp:extent cx="4976495" cy="0"/>
                <wp:effectExtent l="0" t="0" r="0" b="0"/>
                <wp:wrapNone/>
                <wp:docPr id="1" name="1027"/>
                <wp:cNvGraphicFramePr/>
                <a:graphic xmlns:a="http://schemas.openxmlformats.org/drawingml/2006/main">
                  <a:graphicData uri="http://schemas.microsoft.com/office/word/2010/wordprocessingShape">
                    <wps:wsp>
                      <wps:cNvCnPr/>
                      <wps:spPr>
                        <a:xfrm>
                          <a:off x="0" y="0"/>
                          <a:ext cx="497649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1027" o:spid="_x0000_s1026" o:spt="20" style="position:absolute;left:0pt;margin-left:41.45pt;margin-top:6.45pt;height:0pt;width:391.85pt;z-index:251662336;mso-width-relative:page;mso-height-relative:page;" filled="f" stroked="t" coordsize="21600,21600" o:gfxdata="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T//RHVAAAACAEAAA8AAAAAAAAA&#10;AQAgAAAAIgAAAGRycy9kb3ducmV2LnhtbFBLAQIUABQAAAAIAIdO4kDwlUSz2wEAANcDAAAOAAAA&#10;AAAAAAEAIAAAACQBAABkcnMvZTJvRG9jLnhtbFBLBQYAAAAABgAGAFkBAABxBQAAAAA=&#10;">
                <v:fill on="f" focussize="0,0"/>
                <v:stroke color="#000000" joinstyle="round"/>
                <v:imagedata o:title=""/>
                <o:lock v:ext="edit" aspectratio="f"/>
              </v:line>
            </w:pict>
          </mc:Fallback>
        </mc:AlternateContent>
      </w:r>
    </w:p>
    <w:p>
      <w:pPr>
        <w:rPr>
          <w:color w:val="auto"/>
          <w:sz w:val="84"/>
          <w:highlight w:val="none"/>
        </w:rPr>
      </w:pPr>
    </w:p>
    <w:p>
      <w:pPr>
        <w:jc w:val="center"/>
        <w:rPr>
          <w:bCs/>
          <w:color w:val="auto"/>
          <w:sz w:val="96"/>
          <w:szCs w:val="144"/>
          <w:highlight w:val="none"/>
        </w:rPr>
      </w:pPr>
    </w:p>
    <w:p>
      <w:pPr>
        <w:jc w:val="center"/>
        <w:rPr>
          <w:bCs/>
          <w:color w:val="auto"/>
          <w:sz w:val="84"/>
          <w:szCs w:val="56"/>
          <w:highlight w:val="none"/>
        </w:rPr>
      </w:pPr>
      <w:r>
        <w:rPr>
          <w:rFonts w:hint="eastAsia"/>
          <w:bCs/>
          <w:color w:val="auto"/>
          <w:sz w:val="96"/>
          <w:szCs w:val="144"/>
          <w:highlight w:val="none"/>
        </w:rPr>
        <w:t>竞争性磋商文件</w:t>
      </w:r>
    </w:p>
    <w:p>
      <w:pPr>
        <w:pStyle w:val="15"/>
        <w:spacing w:line="360" w:lineRule="exact"/>
        <w:ind w:firstLine="640" w:firstLineChars="200"/>
        <w:jc w:val="center"/>
        <w:rPr>
          <w:rFonts w:hAnsi="宋体"/>
          <w:color w:val="auto"/>
          <w:sz w:val="32"/>
          <w:szCs w:val="32"/>
          <w:highlight w:val="none"/>
        </w:rPr>
      </w:pPr>
    </w:p>
    <w:p>
      <w:pPr>
        <w:pStyle w:val="15"/>
        <w:spacing w:line="360" w:lineRule="exact"/>
        <w:ind w:firstLine="640" w:firstLineChars="200"/>
        <w:jc w:val="center"/>
        <w:rPr>
          <w:rFonts w:hAnsi="宋体"/>
          <w:color w:val="auto"/>
          <w:sz w:val="32"/>
          <w:szCs w:val="32"/>
          <w:highlight w:val="none"/>
        </w:rPr>
      </w:pPr>
    </w:p>
    <w:p>
      <w:pPr>
        <w:pStyle w:val="15"/>
        <w:spacing w:line="360" w:lineRule="exact"/>
        <w:ind w:firstLine="640" w:firstLineChars="200"/>
        <w:jc w:val="center"/>
        <w:rPr>
          <w:rFonts w:hAnsi="宋体"/>
          <w:color w:val="auto"/>
          <w:sz w:val="32"/>
          <w:szCs w:val="32"/>
          <w:highlight w:val="none"/>
        </w:rPr>
      </w:pPr>
    </w:p>
    <w:p>
      <w:pPr>
        <w:pStyle w:val="15"/>
        <w:spacing w:line="360" w:lineRule="exact"/>
        <w:ind w:firstLine="640" w:firstLineChars="200"/>
        <w:jc w:val="center"/>
        <w:rPr>
          <w:rFonts w:hAnsi="宋体"/>
          <w:color w:val="auto"/>
          <w:sz w:val="32"/>
          <w:szCs w:val="32"/>
          <w:highlight w:val="none"/>
        </w:rPr>
      </w:pPr>
    </w:p>
    <w:p>
      <w:pPr>
        <w:pStyle w:val="15"/>
        <w:spacing w:line="360" w:lineRule="exact"/>
        <w:ind w:firstLine="640" w:firstLineChars="200"/>
        <w:jc w:val="center"/>
        <w:rPr>
          <w:rFonts w:hAnsi="宋体"/>
          <w:color w:val="auto"/>
          <w:sz w:val="32"/>
          <w:szCs w:val="32"/>
          <w:highlight w:val="none"/>
        </w:rPr>
      </w:pPr>
    </w:p>
    <w:p>
      <w:pPr>
        <w:ind w:firstLine="640" w:firstLineChars="200"/>
        <w:jc w:val="center"/>
        <w:rPr>
          <w:rFonts w:hint="eastAsia" w:hAnsi="宋体" w:eastAsia="宋体"/>
          <w:color w:val="auto"/>
          <w:sz w:val="32"/>
          <w:szCs w:val="32"/>
          <w:highlight w:val="none"/>
          <w:lang w:eastAsia="zh-CN"/>
        </w:rPr>
      </w:pPr>
      <w:r>
        <w:rPr>
          <w:rFonts w:hint="eastAsia" w:hAnsi="宋体"/>
          <w:color w:val="auto"/>
          <w:sz w:val="32"/>
          <w:szCs w:val="32"/>
          <w:highlight w:val="none"/>
        </w:rPr>
        <w:t>项目名称：</w:t>
      </w:r>
      <w:r>
        <w:rPr>
          <w:rFonts w:hint="eastAsia" w:hAnsi="宋体"/>
          <w:color w:val="auto"/>
          <w:sz w:val="32"/>
          <w:szCs w:val="32"/>
          <w:highlight w:val="none"/>
          <w:lang w:eastAsia="zh-CN"/>
        </w:rPr>
        <w:t>防城港市教育局2023年“区培计划”市级统筹项目培训服务采购</w:t>
      </w:r>
    </w:p>
    <w:p>
      <w:pPr>
        <w:jc w:val="center"/>
        <w:rPr>
          <w:rFonts w:hAnsi="宋体"/>
          <w:color w:val="auto"/>
          <w:sz w:val="32"/>
          <w:szCs w:val="32"/>
          <w:highlight w:val="none"/>
        </w:rPr>
      </w:pPr>
    </w:p>
    <w:p>
      <w:pPr>
        <w:ind w:firstLine="640" w:firstLineChars="200"/>
        <w:jc w:val="center"/>
        <w:rPr>
          <w:rFonts w:hint="eastAsia" w:hAnsi="宋体" w:eastAsia="宋体"/>
          <w:color w:val="auto"/>
          <w:sz w:val="32"/>
          <w:szCs w:val="32"/>
          <w:highlight w:val="none"/>
          <w:lang w:eastAsia="zh-CN"/>
        </w:rPr>
      </w:pPr>
      <w:r>
        <w:rPr>
          <w:rFonts w:hint="eastAsia" w:hAnsi="宋体"/>
          <w:color w:val="auto"/>
          <w:sz w:val="32"/>
          <w:szCs w:val="32"/>
          <w:highlight w:val="none"/>
        </w:rPr>
        <w:t>项目编号：</w:t>
      </w:r>
      <w:r>
        <w:rPr>
          <w:rFonts w:hint="eastAsia" w:hAnsi="宋体"/>
          <w:color w:val="auto"/>
          <w:sz w:val="32"/>
          <w:szCs w:val="32"/>
          <w:highlight w:val="none"/>
          <w:lang w:eastAsia="zh-CN"/>
        </w:rPr>
        <w:t>KLFCGC20233003</w:t>
      </w:r>
    </w:p>
    <w:p>
      <w:pPr>
        <w:pStyle w:val="12"/>
        <w:rPr>
          <w:rFonts w:hAnsi="宋体"/>
          <w:color w:val="auto"/>
          <w:sz w:val="32"/>
          <w:szCs w:val="32"/>
          <w:highlight w:val="none"/>
        </w:rPr>
      </w:pPr>
    </w:p>
    <w:p>
      <w:pPr>
        <w:pStyle w:val="24"/>
        <w:ind w:left="0" w:leftChars="0" w:firstLine="640" w:firstLineChars="200"/>
        <w:jc w:val="center"/>
        <w:rPr>
          <w:rFonts w:hAnsi="宋体"/>
          <w:color w:val="auto"/>
          <w:sz w:val="32"/>
          <w:szCs w:val="32"/>
          <w:highlight w:val="none"/>
        </w:rPr>
      </w:pPr>
      <w:r>
        <w:rPr>
          <w:rFonts w:hint="eastAsia" w:hAnsi="宋体"/>
          <w:color w:val="auto"/>
          <w:sz w:val="32"/>
          <w:szCs w:val="32"/>
          <w:highlight w:val="none"/>
        </w:rPr>
        <w:t>采购人：</w:t>
      </w:r>
      <w:r>
        <w:rPr>
          <w:rFonts w:hint="eastAsia" w:hAnsi="宋体"/>
          <w:color w:val="auto"/>
          <w:sz w:val="32"/>
          <w:szCs w:val="32"/>
          <w:highlight w:val="none"/>
          <w:lang w:eastAsia="zh-CN"/>
        </w:rPr>
        <w:t>防城港市教育局</w:t>
      </w:r>
    </w:p>
    <w:p>
      <w:pPr>
        <w:pStyle w:val="24"/>
        <w:ind w:left="0" w:leftChars="0" w:firstLine="640" w:firstLineChars="200"/>
        <w:jc w:val="center"/>
        <w:rPr>
          <w:rFonts w:hAnsi="宋体"/>
          <w:color w:val="auto"/>
          <w:sz w:val="32"/>
          <w:szCs w:val="32"/>
          <w:highlight w:val="none"/>
        </w:rPr>
      </w:pPr>
      <w:r>
        <w:rPr>
          <w:rFonts w:hint="eastAsia" w:hAnsi="宋体"/>
          <w:color w:val="auto"/>
          <w:sz w:val="32"/>
          <w:szCs w:val="32"/>
          <w:highlight w:val="none"/>
        </w:rPr>
        <w:t>采购代理机构：广西科联招标中心有限公司</w:t>
      </w:r>
    </w:p>
    <w:p>
      <w:pPr>
        <w:pStyle w:val="24"/>
        <w:ind w:left="0" w:leftChars="0" w:firstLine="640" w:firstLineChars="200"/>
        <w:jc w:val="center"/>
        <w:rPr>
          <w:rFonts w:hAnsi="宋体"/>
          <w:color w:val="auto"/>
          <w:sz w:val="32"/>
          <w:szCs w:val="32"/>
          <w:highlight w:val="none"/>
        </w:rPr>
      </w:pPr>
      <w:r>
        <w:rPr>
          <w:rFonts w:hint="eastAsia" w:hAnsi="宋体"/>
          <w:color w:val="auto"/>
          <w:sz w:val="32"/>
          <w:szCs w:val="32"/>
          <w:highlight w:val="none"/>
          <w:lang w:eastAsia="zh-CN"/>
        </w:rPr>
        <w:t>2023年</w:t>
      </w:r>
      <w:r>
        <w:rPr>
          <w:rFonts w:hint="eastAsia" w:hAnsi="宋体"/>
          <w:color w:val="auto"/>
          <w:sz w:val="32"/>
          <w:szCs w:val="32"/>
          <w:highlight w:val="none"/>
          <w:lang w:val="en-US" w:eastAsia="zh-CN"/>
        </w:rPr>
        <w:t>5</w:t>
      </w:r>
      <w:r>
        <w:rPr>
          <w:rFonts w:hint="eastAsia" w:hAnsi="宋体"/>
          <w:color w:val="auto"/>
          <w:sz w:val="32"/>
          <w:szCs w:val="32"/>
          <w:highlight w:val="none"/>
        </w:rPr>
        <w:t>月</w:t>
      </w:r>
    </w:p>
    <w:p>
      <w:pPr>
        <w:pStyle w:val="24"/>
        <w:ind w:left="0" w:leftChars="0" w:firstLine="0" w:firstLineChars="0"/>
        <w:jc w:val="center"/>
        <w:rPr>
          <w:rFonts w:hAnsi="宋体"/>
          <w:color w:val="auto"/>
          <w:sz w:val="32"/>
          <w:szCs w:val="32"/>
          <w:highlight w:val="none"/>
        </w:rPr>
      </w:pPr>
    </w:p>
    <w:p>
      <w:pPr>
        <w:pStyle w:val="24"/>
        <w:ind w:left="0" w:leftChars="0" w:firstLine="0" w:firstLineChars="0"/>
        <w:jc w:val="center"/>
        <w:rPr>
          <w:rFonts w:hAnsi="宋体"/>
          <w:color w:val="auto"/>
          <w:sz w:val="32"/>
          <w:szCs w:val="32"/>
          <w:highlight w:val="none"/>
        </w:rPr>
      </w:pPr>
    </w:p>
    <w:p>
      <w:pPr>
        <w:pStyle w:val="24"/>
        <w:ind w:left="0" w:leftChars="0" w:firstLine="0" w:firstLineChars="0"/>
        <w:jc w:val="center"/>
        <w:rPr>
          <w:rFonts w:hAnsi="宋体"/>
          <w:color w:val="auto"/>
          <w:sz w:val="32"/>
          <w:szCs w:val="32"/>
          <w:highlight w:val="none"/>
        </w:rPr>
        <w:sectPr>
          <w:headerReference r:id="rId5" w:type="first"/>
          <w:headerReference r:id="rId3" w:type="default"/>
          <w:footerReference r:id="rId6" w:type="default"/>
          <w:headerReference r:id="rId4" w:type="even"/>
          <w:footerReference r:id="rId7" w:type="even"/>
          <w:pgSz w:w="11906" w:h="16838"/>
          <w:pgMar w:top="1402" w:right="1469" w:bottom="1402" w:left="1469" w:header="851" w:footer="992" w:gutter="0"/>
          <w:pgNumType w:start="1"/>
          <w:cols w:space="720" w:num="1"/>
          <w:titlePg/>
          <w:docGrid w:type="lines" w:linePitch="312" w:charSpace="0"/>
        </w:sectPr>
      </w:pPr>
    </w:p>
    <w:p>
      <w:pPr>
        <w:pStyle w:val="24"/>
        <w:ind w:left="0" w:leftChars="0" w:firstLine="0" w:firstLineChars="0"/>
        <w:jc w:val="center"/>
        <w:rPr>
          <w:rFonts w:hAnsi="宋体"/>
          <w:color w:val="auto"/>
          <w:sz w:val="32"/>
          <w:szCs w:val="32"/>
          <w:highlight w:val="none"/>
        </w:rPr>
      </w:pPr>
    </w:p>
    <w:p>
      <w:pPr>
        <w:spacing w:line="480" w:lineRule="auto"/>
        <w:ind w:firstLine="883" w:firstLineChars="200"/>
        <w:jc w:val="center"/>
        <w:rPr>
          <w:b/>
          <w:bCs/>
          <w:color w:val="auto"/>
          <w:sz w:val="44"/>
          <w:szCs w:val="52"/>
          <w:highlight w:val="none"/>
        </w:rPr>
      </w:pPr>
      <w:r>
        <w:rPr>
          <w:rFonts w:hint="eastAsia" w:ascii="宋体" w:hAnsi="宋体"/>
          <w:b/>
          <w:bCs/>
          <w:color w:val="auto"/>
          <w:sz w:val="44"/>
          <w:szCs w:val="52"/>
          <w:highlight w:val="none"/>
        </w:rPr>
        <w:t>目录</w:t>
      </w:r>
    </w:p>
    <w:p>
      <w:pPr>
        <w:pStyle w:val="18"/>
        <w:tabs>
          <w:tab w:val="right" w:leader="dot" w:pos="8968"/>
        </w:tabs>
        <w:spacing w:line="480" w:lineRule="auto"/>
        <w:rPr>
          <w:color w:val="auto"/>
          <w:sz w:val="24"/>
          <w:szCs w:val="32"/>
        </w:rPr>
      </w:pPr>
      <w:r>
        <w:rPr>
          <w:color w:val="auto"/>
          <w:sz w:val="52"/>
          <w:szCs w:val="52"/>
          <w:highlight w:val="none"/>
        </w:rPr>
        <w:fldChar w:fldCharType="begin"/>
      </w:r>
      <w:r>
        <w:rPr>
          <w:color w:val="auto"/>
          <w:sz w:val="52"/>
          <w:szCs w:val="52"/>
          <w:highlight w:val="none"/>
        </w:rPr>
        <w:instrText xml:space="preserve">TOC \o "1-1" \h \u </w:instrText>
      </w:r>
      <w:r>
        <w:rPr>
          <w:color w:val="auto"/>
          <w:sz w:val="52"/>
          <w:szCs w:val="52"/>
          <w:highlight w:val="none"/>
        </w:rPr>
        <w:fldChar w:fldCharType="separate"/>
      </w:r>
      <w:r>
        <w:rPr>
          <w:color w:val="auto"/>
          <w:sz w:val="24"/>
          <w:szCs w:val="52"/>
          <w:highlight w:val="none"/>
        </w:rPr>
        <w:fldChar w:fldCharType="begin"/>
      </w:r>
      <w:r>
        <w:rPr>
          <w:color w:val="auto"/>
          <w:sz w:val="24"/>
          <w:szCs w:val="52"/>
          <w:highlight w:val="none"/>
        </w:rPr>
        <w:instrText xml:space="preserve"> HYPERLINK \l _Toc30671 </w:instrText>
      </w:r>
      <w:r>
        <w:rPr>
          <w:color w:val="auto"/>
          <w:sz w:val="24"/>
          <w:szCs w:val="52"/>
          <w:highlight w:val="none"/>
        </w:rPr>
        <w:fldChar w:fldCharType="separate"/>
      </w:r>
      <w:r>
        <w:rPr>
          <w:rFonts w:hint="eastAsia"/>
          <w:color w:val="auto"/>
          <w:sz w:val="24"/>
          <w:szCs w:val="22"/>
          <w:highlight w:val="none"/>
        </w:rPr>
        <w:t>第一章</w:t>
      </w:r>
      <w:r>
        <w:rPr>
          <w:rFonts w:hint="eastAsia"/>
          <w:color w:val="auto"/>
          <w:sz w:val="24"/>
          <w:szCs w:val="22"/>
          <w:highlight w:val="none"/>
          <w:lang w:val="en-US" w:eastAsia="zh-CN"/>
        </w:rPr>
        <w:t xml:space="preserve"> </w:t>
      </w:r>
      <w:r>
        <w:rPr>
          <w:rFonts w:hint="eastAsia"/>
          <w:color w:val="auto"/>
          <w:sz w:val="24"/>
          <w:szCs w:val="22"/>
          <w:highlight w:val="none"/>
        </w:rPr>
        <w:t>竞争性磋商公告</w:t>
      </w:r>
      <w:r>
        <w:rPr>
          <w:color w:val="auto"/>
          <w:sz w:val="24"/>
          <w:szCs w:val="32"/>
        </w:rPr>
        <w:tab/>
      </w:r>
      <w:r>
        <w:rPr>
          <w:color w:val="auto"/>
          <w:sz w:val="24"/>
          <w:szCs w:val="32"/>
        </w:rPr>
        <w:fldChar w:fldCharType="begin"/>
      </w:r>
      <w:r>
        <w:rPr>
          <w:color w:val="auto"/>
          <w:sz w:val="24"/>
          <w:szCs w:val="32"/>
        </w:rPr>
        <w:instrText xml:space="preserve"> PAGEREF _Toc30671 \h </w:instrText>
      </w:r>
      <w:r>
        <w:rPr>
          <w:color w:val="auto"/>
          <w:sz w:val="24"/>
          <w:szCs w:val="32"/>
        </w:rPr>
        <w:fldChar w:fldCharType="separate"/>
      </w:r>
      <w:r>
        <w:rPr>
          <w:color w:val="auto"/>
          <w:sz w:val="24"/>
          <w:szCs w:val="32"/>
        </w:rPr>
        <w:t>2</w:t>
      </w:r>
      <w:r>
        <w:rPr>
          <w:color w:val="auto"/>
          <w:sz w:val="24"/>
          <w:szCs w:val="32"/>
        </w:rPr>
        <w:fldChar w:fldCharType="end"/>
      </w:r>
      <w:r>
        <w:rPr>
          <w:color w:val="auto"/>
          <w:sz w:val="24"/>
          <w:szCs w:val="52"/>
          <w:highlight w:val="none"/>
        </w:rPr>
        <w:fldChar w:fldCharType="end"/>
      </w:r>
    </w:p>
    <w:p>
      <w:pPr>
        <w:pStyle w:val="18"/>
        <w:tabs>
          <w:tab w:val="right" w:leader="dot" w:pos="8968"/>
        </w:tabs>
        <w:spacing w:line="480" w:lineRule="auto"/>
        <w:rPr>
          <w:color w:val="auto"/>
          <w:sz w:val="24"/>
          <w:szCs w:val="32"/>
        </w:rPr>
      </w:pPr>
      <w:r>
        <w:rPr>
          <w:color w:val="auto"/>
          <w:sz w:val="24"/>
          <w:szCs w:val="52"/>
          <w:highlight w:val="none"/>
        </w:rPr>
        <w:fldChar w:fldCharType="begin"/>
      </w:r>
      <w:r>
        <w:rPr>
          <w:color w:val="auto"/>
          <w:sz w:val="24"/>
          <w:szCs w:val="52"/>
          <w:highlight w:val="none"/>
        </w:rPr>
        <w:instrText xml:space="preserve"> HYPERLINK \l _Toc9115 </w:instrText>
      </w:r>
      <w:r>
        <w:rPr>
          <w:color w:val="auto"/>
          <w:sz w:val="24"/>
          <w:szCs w:val="52"/>
          <w:highlight w:val="none"/>
        </w:rPr>
        <w:fldChar w:fldCharType="separate"/>
      </w:r>
      <w:r>
        <w:rPr>
          <w:rFonts w:hint="eastAsia"/>
          <w:color w:val="auto"/>
          <w:sz w:val="24"/>
          <w:szCs w:val="28"/>
          <w:highlight w:val="none"/>
        </w:rPr>
        <w:t>第二章 供应商须知</w:t>
      </w:r>
      <w:r>
        <w:rPr>
          <w:color w:val="auto"/>
          <w:sz w:val="24"/>
          <w:szCs w:val="32"/>
        </w:rPr>
        <w:tab/>
      </w:r>
      <w:r>
        <w:rPr>
          <w:color w:val="auto"/>
          <w:sz w:val="24"/>
          <w:szCs w:val="32"/>
        </w:rPr>
        <w:fldChar w:fldCharType="begin"/>
      </w:r>
      <w:r>
        <w:rPr>
          <w:color w:val="auto"/>
          <w:sz w:val="24"/>
          <w:szCs w:val="32"/>
        </w:rPr>
        <w:instrText xml:space="preserve"> PAGEREF _Toc9115 \h </w:instrText>
      </w:r>
      <w:r>
        <w:rPr>
          <w:color w:val="auto"/>
          <w:sz w:val="24"/>
          <w:szCs w:val="32"/>
        </w:rPr>
        <w:fldChar w:fldCharType="separate"/>
      </w:r>
      <w:r>
        <w:rPr>
          <w:color w:val="auto"/>
          <w:sz w:val="24"/>
          <w:szCs w:val="32"/>
        </w:rPr>
        <w:t>5</w:t>
      </w:r>
      <w:r>
        <w:rPr>
          <w:color w:val="auto"/>
          <w:sz w:val="24"/>
          <w:szCs w:val="32"/>
        </w:rPr>
        <w:fldChar w:fldCharType="end"/>
      </w:r>
      <w:r>
        <w:rPr>
          <w:color w:val="auto"/>
          <w:sz w:val="24"/>
          <w:szCs w:val="52"/>
          <w:highlight w:val="none"/>
        </w:rPr>
        <w:fldChar w:fldCharType="end"/>
      </w:r>
    </w:p>
    <w:p>
      <w:pPr>
        <w:pStyle w:val="18"/>
        <w:tabs>
          <w:tab w:val="right" w:leader="dot" w:pos="8968"/>
        </w:tabs>
        <w:spacing w:line="480" w:lineRule="auto"/>
        <w:rPr>
          <w:color w:val="auto"/>
          <w:sz w:val="24"/>
          <w:szCs w:val="32"/>
        </w:rPr>
      </w:pPr>
      <w:r>
        <w:rPr>
          <w:color w:val="auto"/>
          <w:sz w:val="24"/>
          <w:szCs w:val="52"/>
          <w:highlight w:val="none"/>
        </w:rPr>
        <w:fldChar w:fldCharType="begin"/>
      </w:r>
      <w:r>
        <w:rPr>
          <w:color w:val="auto"/>
          <w:sz w:val="24"/>
          <w:szCs w:val="52"/>
          <w:highlight w:val="none"/>
        </w:rPr>
        <w:instrText xml:space="preserve"> HYPERLINK \l _Toc6303 </w:instrText>
      </w:r>
      <w:r>
        <w:rPr>
          <w:color w:val="auto"/>
          <w:sz w:val="24"/>
          <w:szCs w:val="52"/>
          <w:highlight w:val="none"/>
        </w:rPr>
        <w:fldChar w:fldCharType="separate"/>
      </w:r>
      <w:r>
        <w:rPr>
          <w:rFonts w:hint="eastAsia"/>
          <w:color w:val="auto"/>
          <w:sz w:val="24"/>
          <w:szCs w:val="32"/>
          <w:highlight w:val="none"/>
        </w:rPr>
        <w:t>第三章</w:t>
      </w:r>
      <w:r>
        <w:rPr>
          <w:rFonts w:hint="eastAsia"/>
          <w:color w:val="auto"/>
          <w:sz w:val="24"/>
          <w:szCs w:val="32"/>
          <w:highlight w:val="none"/>
          <w:lang w:val="en-US" w:eastAsia="zh-CN"/>
        </w:rPr>
        <w:t xml:space="preserve"> </w:t>
      </w:r>
      <w:r>
        <w:rPr>
          <w:rFonts w:hint="eastAsia"/>
          <w:color w:val="auto"/>
          <w:sz w:val="24"/>
          <w:szCs w:val="32"/>
          <w:highlight w:val="none"/>
        </w:rPr>
        <w:t>采购需求</w:t>
      </w:r>
      <w:r>
        <w:rPr>
          <w:color w:val="auto"/>
          <w:sz w:val="24"/>
          <w:szCs w:val="32"/>
        </w:rPr>
        <w:tab/>
      </w:r>
      <w:r>
        <w:rPr>
          <w:color w:val="auto"/>
          <w:sz w:val="24"/>
          <w:szCs w:val="32"/>
        </w:rPr>
        <w:fldChar w:fldCharType="begin"/>
      </w:r>
      <w:r>
        <w:rPr>
          <w:color w:val="auto"/>
          <w:sz w:val="24"/>
          <w:szCs w:val="32"/>
        </w:rPr>
        <w:instrText xml:space="preserve"> PAGEREF _Toc6303 \h </w:instrText>
      </w:r>
      <w:r>
        <w:rPr>
          <w:color w:val="auto"/>
          <w:sz w:val="24"/>
          <w:szCs w:val="32"/>
        </w:rPr>
        <w:fldChar w:fldCharType="separate"/>
      </w:r>
      <w:r>
        <w:rPr>
          <w:color w:val="auto"/>
          <w:sz w:val="24"/>
          <w:szCs w:val="32"/>
        </w:rPr>
        <w:t>21</w:t>
      </w:r>
      <w:r>
        <w:rPr>
          <w:color w:val="auto"/>
          <w:sz w:val="24"/>
          <w:szCs w:val="32"/>
        </w:rPr>
        <w:fldChar w:fldCharType="end"/>
      </w:r>
      <w:r>
        <w:rPr>
          <w:color w:val="auto"/>
          <w:sz w:val="24"/>
          <w:szCs w:val="52"/>
          <w:highlight w:val="none"/>
        </w:rPr>
        <w:fldChar w:fldCharType="end"/>
      </w:r>
    </w:p>
    <w:p>
      <w:pPr>
        <w:pStyle w:val="18"/>
        <w:tabs>
          <w:tab w:val="right" w:leader="dot" w:pos="8968"/>
        </w:tabs>
        <w:spacing w:line="480" w:lineRule="auto"/>
        <w:rPr>
          <w:color w:val="auto"/>
          <w:sz w:val="24"/>
          <w:szCs w:val="32"/>
        </w:rPr>
      </w:pPr>
      <w:r>
        <w:rPr>
          <w:color w:val="auto"/>
          <w:sz w:val="24"/>
          <w:szCs w:val="52"/>
          <w:highlight w:val="none"/>
        </w:rPr>
        <w:fldChar w:fldCharType="begin"/>
      </w:r>
      <w:r>
        <w:rPr>
          <w:color w:val="auto"/>
          <w:sz w:val="24"/>
          <w:szCs w:val="52"/>
          <w:highlight w:val="none"/>
        </w:rPr>
        <w:instrText xml:space="preserve"> HYPERLINK \l _Toc9355 </w:instrText>
      </w:r>
      <w:r>
        <w:rPr>
          <w:color w:val="auto"/>
          <w:sz w:val="24"/>
          <w:szCs w:val="52"/>
          <w:highlight w:val="none"/>
        </w:rPr>
        <w:fldChar w:fldCharType="separate"/>
      </w:r>
      <w:r>
        <w:rPr>
          <w:rFonts w:hint="eastAsia"/>
          <w:color w:val="auto"/>
          <w:sz w:val="24"/>
          <w:szCs w:val="22"/>
          <w:highlight w:val="none"/>
        </w:rPr>
        <w:t>第四章 评审方法及定标标准</w:t>
      </w:r>
      <w:r>
        <w:rPr>
          <w:color w:val="auto"/>
          <w:sz w:val="24"/>
          <w:szCs w:val="32"/>
        </w:rPr>
        <w:tab/>
      </w:r>
      <w:r>
        <w:rPr>
          <w:color w:val="auto"/>
          <w:sz w:val="24"/>
          <w:szCs w:val="32"/>
        </w:rPr>
        <w:fldChar w:fldCharType="begin"/>
      </w:r>
      <w:r>
        <w:rPr>
          <w:color w:val="auto"/>
          <w:sz w:val="24"/>
          <w:szCs w:val="32"/>
        </w:rPr>
        <w:instrText xml:space="preserve"> PAGEREF _Toc9355 \h </w:instrText>
      </w:r>
      <w:r>
        <w:rPr>
          <w:color w:val="auto"/>
          <w:sz w:val="24"/>
          <w:szCs w:val="32"/>
        </w:rPr>
        <w:fldChar w:fldCharType="separate"/>
      </w:r>
      <w:r>
        <w:rPr>
          <w:color w:val="auto"/>
          <w:sz w:val="24"/>
          <w:szCs w:val="32"/>
        </w:rPr>
        <w:t>25</w:t>
      </w:r>
      <w:r>
        <w:rPr>
          <w:color w:val="auto"/>
          <w:sz w:val="24"/>
          <w:szCs w:val="32"/>
        </w:rPr>
        <w:fldChar w:fldCharType="end"/>
      </w:r>
      <w:r>
        <w:rPr>
          <w:color w:val="auto"/>
          <w:sz w:val="24"/>
          <w:szCs w:val="52"/>
          <w:highlight w:val="none"/>
        </w:rPr>
        <w:fldChar w:fldCharType="end"/>
      </w:r>
    </w:p>
    <w:p>
      <w:pPr>
        <w:pStyle w:val="18"/>
        <w:tabs>
          <w:tab w:val="right" w:leader="dot" w:pos="8968"/>
        </w:tabs>
        <w:spacing w:line="480" w:lineRule="auto"/>
        <w:rPr>
          <w:color w:val="auto"/>
          <w:sz w:val="24"/>
          <w:szCs w:val="32"/>
        </w:rPr>
      </w:pPr>
      <w:r>
        <w:rPr>
          <w:color w:val="auto"/>
          <w:sz w:val="24"/>
          <w:szCs w:val="52"/>
          <w:highlight w:val="none"/>
        </w:rPr>
        <w:fldChar w:fldCharType="begin"/>
      </w:r>
      <w:r>
        <w:rPr>
          <w:color w:val="auto"/>
          <w:sz w:val="24"/>
          <w:szCs w:val="52"/>
          <w:highlight w:val="none"/>
        </w:rPr>
        <w:instrText xml:space="preserve"> HYPERLINK \l _Toc842 </w:instrText>
      </w:r>
      <w:r>
        <w:rPr>
          <w:color w:val="auto"/>
          <w:sz w:val="24"/>
          <w:szCs w:val="52"/>
          <w:highlight w:val="none"/>
        </w:rPr>
        <w:fldChar w:fldCharType="separate"/>
      </w:r>
      <w:r>
        <w:rPr>
          <w:rFonts w:hint="eastAsia"/>
          <w:color w:val="auto"/>
          <w:sz w:val="24"/>
          <w:szCs w:val="22"/>
          <w:highlight w:val="none"/>
        </w:rPr>
        <w:t>第五章 响应文件格式</w:t>
      </w:r>
      <w:r>
        <w:rPr>
          <w:color w:val="auto"/>
          <w:sz w:val="24"/>
          <w:szCs w:val="32"/>
        </w:rPr>
        <w:tab/>
      </w:r>
      <w:r>
        <w:rPr>
          <w:color w:val="auto"/>
          <w:sz w:val="24"/>
          <w:szCs w:val="32"/>
        </w:rPr>
        <w:fldChar w:fldCharType="begin"/>
      </w:r>
      <w:r>
        <w:rPr>
          <w:color w:val="auto"/>
          <w:sz w:val="24"/>
          <w:szCs w:val="32"/>
        </w:rPr>
        <w:instrText xml:space="preserve"> PAGEREF _Toc842 \h </w:instrText>
      </w:r>
      <w:r>
        <w:rPr>
          <w:color w:val="auto"/>
          <w:sz w:val="24"/>
          <w:szCs w:val="32"/>
        </w:rPr>
        <w:fldChar w:fldCharType="separate"/>
      </w:r>
      <w:r>
        <w:rPr>
          <w:color w:val="auto"/>
          <w:sz w:val="24"/>
          <w:szCs w:val="32"/>
        </w:rPr>
        <w:t>36</w:t>
      </w:r>
      <w:r>
        <w:rPr>
          <w:color w:val="auto"/>
          <w:sz w:val="24"/>
          <w:szCs w:val="32"/>
        </w:rPr>
        <w:fldChar w:fldCharType="end"/>
      </w:r>
      <w:r>
        <w:rPr>
          <w:color w:val="auto"/>
          <w:sz w:val="24"/>
          <w:szCs w:val="52"/>
          <w:highlight w:val="none"/>
        </w:rPr>
        <w:fldChar w:fldCharType="end"/>
      </w:r>
    </w:p>
    <w:p>
      <w:pPr>
        <w:pStyle w:val="18"/>
        <w:tabs>
          <w:tab w:val="right" w:leader="dot" w:pos="8968"/>
        </w:tabs>
        <w:spacing w:line="480" w:lineRule="auto"/>
        <w:rPr>
          <w:color w:val="auto"/>
          <w:sz w:val="24"/>
          <w:szCs w:val="32"/>
        </w:rPr>
      </w:pPr>
      <w:r>
        <w:rPr>
          <w:color w:val="auto"/>
          <w:sz w:val="24"/>
          <w:szCs w:val="52"/>
          <w:highlight w:val="none"/>
        </w:rPr>
        <w:fldChar w:fldCharType="begin"/>
      </w:r>
      <w:r>
        <w:rPr>
          <w:color w:val="auto"/>
          <w:sz w:val="24"/>
          <w:szCs w:val="52"/>
          <w:highlight w:val="none"/>
        </w:rPr>
        <w:instrText xml:space="preserve"> HYPERLINK \l _Toc21816 </w:instrText>
      </w:r>
      <w:r>
        <w:rPr>
          <w:color w:val="auto"/>
          <w:sz w:val="24"/>
          <w:szCs w:val="52"/>
          <w:highlight w:val="none"/>
        </w:rPr>
        <w:fldChar w:fldCharType="separate"/>
      </w:r>
      <w:r>
        <w:rPr>
          <w:rFonts w:hint="eastAsia"/>
          <w:color w:val="auto"/>
          <w:sz w:val="24"/>
          <w:szCs w:val="44"/>
          <w:highlight w:val="none"/>
        </w:rPr>
        <w:t>第六章</w:t>
      </w:r>
      <w:r>
        <w:rPr>
          <w:rFonts w:hint="eastAsia"/>
          <w:color w:val="auto"/>
          <w:sz w:val="24"/>
          <w:szCs w:val="44"/>
          <w:highlight w:val="none"/>
          <w:lang w:val="en-US" w:eastAsia="zh-CN"/>
        </w:rPr>
        <w:t xml:space="preserve"> </w:t>
      </w:r>
      <w:r>
        <w:rPr>
          <w:rFonts w:hint="eastAsia"/>
          <w:color w:val="auto"/>
          <w:sz w:val="24"/>
          <w:szCs w:val="44"/>
          <w:highlight w:val="none"/>
        </w:rPr>
        <w:t>拟定的合同文本</w:t>
      </w:r>
      <w:r>
        <w:rPr>
          <w:color w:val="auto"/>
          <w:sz w:val="24"/>
          <w:szCs w:val="32"/>
        </w:rPr>
        <w:tab/>
      </w:r>
      <w:r>
        <w:rPr>
          <w:color w:val="auto"/>
          <w:sz w:val="24"/>
          <w:szCs w:val="32"/>
        </w:rPr>
        <w:fldChar w:fldCharType="begin"/>
      </w:r>
      <w:r>
        <w:rPr>
          <w:color w:val="auto"/>
          <w:sz w:val="24"/>
          <w:szCs w:val="32"/>
        </w:rPr>
        <w:instrText xml:space="preserve"> PAGEREF _Toc21816 \h </w:instrText>
      </w:r>
      <w:r>
        <w:rPr>
          <w:color w:val="auto"/>
          <w:sz w:val="24"/>
          <w:szCs w:val="32"/>
        </w:rPr>
        <w:fldChar w:fldCharType="separate"/>
      </w:r>
      <w:r>
        <w:rPr>
          <w:color w:val="auto"/>
          <w:sz w:val="24"/>
          <w:szCs w:val="32"/>
        </w:rPr>
        <w:t>52</w:t>
      </w:r>
      <w:r>
        <w:rPr>
          <w:color w:val="auto"/>
          <w:sz w:val="24"/>
          <w:szCs w:val="32"/>
        </w:rPr>
        <w:fldChar w:fldCharType="end"/>
      </w:r>
      <w:r>
        <w:rPr>
          <w:color w:val="auto"/>
          <w:sz w:val="24"/>
          <w:szCs w:val="52"/>
          <w:highlight w:val="none"/>
        </w:rPr>
        <w:fldChar w:fldCharType="end"/>
      </w:r>
    </w:p>
    <w:p>
      <w:pPr>
        <w:pStyle w:val="39"/>
        <w:spacing w:line="480" w:lineRule="auto"/>
        <w:ind w:firstLine="680" w:firstLineChars="200"/>
        <w:rPr>
          <w:color w:val="auto"/>
          <w:sz w:val="36"/>
          <w:szCs w:val="36"/>
          <w:highlight w:val="none"/>
        </w:rPr>
      </w:pPr>
      <w:r>
        <w:rPr>
          <w:color w:val="auto"/>
          <w:sz w:val="32"/>
          <w:szCs w:val="52"/>
          <w:highlight w:val="none"/>
        </w:rPr>
        <w:fldChar w:fldCharType="end"/>
      </w: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pStyle w:val="4"/>
        <w:rPr>
          <w:color w:val="auto"/>
          <w:highlight w:val="none"/>
        </w:rPr>
        <w:sectPr>
          <w:footerReference r:id="rId9" w:type="first"/>
          <w:footerReference r:id="rId8" w:type="default"/>
          <w:pgSz w:w="11906" w:h="16838"/>
          <w:pgMar w:top="1402" w:right="1469" w:bottom="1402" w:left="1469" w:header="851" w:footer="992" w:gutter="0"/>
          <w:pgNumType w:start="1"/>
          <w:cols w:space="720" w:num="1"/>
          <w:titlePg/>
          <w:docGrid w:type="lines" w:linePitch="312" w:charSpace="0"/>
        </w:sectPr>
      </w:pPr>
      <w:bookmarkStart w:id="0" w:name="_Toc514340095"/>
    </w:p>
    <w:p>
      <w:pPr>
        <w:pStyle w:val="3"/>
        <w:ind w:firstLine="643" w:firstLineChars="200"/>
        <w:jc w:val="center"/>
        <w:rPr>
          <w:color w:val="auto"/>
          <w:sz w:val="32"/>
          <w:szCs w:val="20"/>
          <w:highlight w:val="none"/>
        </w:rPr>
      </w:pPr>
      <w:bookmarkStart w:id="1" w:name="_Toc30671"/>
      <w:r>
        <w:rPr>
          <w:rFonts w:hint="eastAsia"/>
          <w:color w:val="auto"/>
          <w:sz w:val="32"/>
          <w:szCs w:val="20"/>
          <w:highlight w:val="none"/>
        </w:rPr>
        <w:t>第一章</w:t>
      </w:r>
      <w:r>
        <w:rPr>
          <w:rFonts w:hint="eastAsia"/>
          <w:color w:val="auto"/>
          <w:sz w:val="32"/>
          <w:szCs w:val="20"/>
          <w:highlight w:val="none"/>
          <w:lang w:val="en-US" w:eastAsia="zh-CN"/>
        </w:rPr>
        <w:t xml:space="preserve"> </w:t>
      </w:r>
      <w:r>
        <w:rPr>
          <w:rFonts w:hint="eastAsia"/>
          <w:color w:val="auto"/>
          <w:sz w:val="32"/>
          <w:szCs w:val="20"/>
          <w:highlight w:val="none"/>
        </w:rPr>
        <w:t>竞争性磋商公告</w:t>
      </w:r>
      <w:bookmarkEnd w:id="0"/>
      <w:bookmarkEnd w:id="1"/>
    </w:p>
    <w:p>
      <w:pPr>
        <w:spacing w:line="440" w:lineRule="exact"/>
        <w:ind w:firstLine="422" w:firstLineChars="200"/>
        <w:rPr>
          <w:rFonts w:ascii="宋体" w:cs="宋体"/>
          <w:color w:val="auto"/>
          <w:szCs w:val="21"/>
          <w:highlight w:val="none"/>
        </w:rPr>
      </w:pPr>
      <w:r>
        <w:rPr>
          <w:rFonts w:hint="eastAsia" w:ascii="宋体" w:hAnsi="宋体" w:cs="宋体"/>
          <w:b/>
          <w:bCs/>
          <w:color w:val="auto"/>
          <w:szCs w:val="21"/>
          <w:highlight w:val="none"/>
        </w:rPr>
        <w:t>项目概况</w:t>
      </w:r>
    </w:p>
    <w:p>
      <w:pPr>
        <w:spacing w:line="440" w:lineRule="exact"/>
        <w:ind w:firstLine="420" w:firstLineChars="200"/>
        <w:rPr>
          <w:rFonts w:ascii="宋体" w:cs="宋体"/>
          <w:color w:val="auto"/>
          <w:szCs w:val="21"/>
          <w:highlight w:val="none"/>
        </w:rPr>
      </w:pPr>
      <w:r>
        <w:rPr>
          <w:rFonts w:hint="eastAsia" w:ascii="宋体" w:hAnsi="宋体" w:cs="宋体"/>
          <w:color w:val="auto"/>
          <w:szCs w:val="21"/>
          <w:highlight w:val="none"/>
          <w:lang w:eastAsia="zh-CN"/>
        </w:rPr>
        <w:t>防城港市教育局2023年“区培计划”市级统筹项目培训服务采购</w:t>
      </w:r>
      <w:r>
        <w:rPr>
          <w:rFonts w:hint="eastAsia" w:ascii="宋体" w:hAnsi="宋体" w:cs="宋体"/>
          <w:color w:val="auto"/>
          <w:szCs w:val="21"/>
          <w:highlight w:val="none"/>
        </w:rPr>
        <w:t>的潜在供应商应在广西科联招标中心有限公司防城港分公司（防城港市港口区珍珠路珍珠苑C10栋）获取采购文件，并于</w:t>
      </w:r>
      <w:r>
        <w:rPr>
          <w:rFonts w:hint="eastAsia" w:ascii="宋体" w:hAnsi="宋体" w:cs="宋体"/>
          <w:color w:val="auto"/>
          <w:highlight w:val="none"/>
          <w:lang w:eastAsia="zh-CN"/>
        </w:rPr>
        <w:t>2023年</w:t>
      </w:r>
      <w:r>
        <w:rPr>
          <w:rFonts w:hint="eastAsia" w:ascii="宋体" w:hAnsi="宋体" w:cs="宋体"/>
          <w:color w:val="auto"/>
          <w:highlight w:val="none"/>
          <w:lang w:val="en-US" w:eastAsia="zh-CN"/>
        </w:rPr>
        <w:t>5</w:t>
      </w:r>
      <w:r>
        <w:rPr>
          <w:rFonts w:hint="eastAsia" w:ascii="宋体" w:hAnsi="宋体" w:cs="宋体"/>
          <w:color w:val="auto"/>
          <w:highlight w:val="none"/>
        </w:rPr>
        <w:t>月</w:t>
      </w:r>
      <w:r>
        <w:rPr>
          <w:rFonts w:hint="eastAsia" w:ascii="宋体" w:hAnsi="宋体" w:cs="宋体"/>
          <w:color w:val="auto"/>
          <w:highlight w:val="none"/>
          <w:lang w:val="en-US" w:eastAsia="zh-CN"/>
        </w:rPr>
        <w:t>29</w:t>
      </w:r>
      <w:r>
        <w:rPr>
          <w:rFonts w:hint="eastAsia" w:ascii="宋体" w:hAnsi="宋体" w:cs="宋体"/>
          <w:color w:val="auto"/>
          <w:highlight w:val="none"/>
        </w:rPr>
        <w:t>日</w:t>
      </w:r>
      <w:r>
        <w:rPr>
          <w:rFonts w:hint="eastAsia" w:ascii="宋体" w:hAnsi="宋体" w:cs="宋体"/>
          <w:color w:val="auto"/>
          <w:highlight w:val="none"/>
          <w:lang w:val="en-US" w:eastAsia="zh-CN"/>
        </w:rPr>
        <w:t>15</w:t>
      </w:r>
      <w:r>
        <w:rPr>
          <w:rFonts w:hint="eastAsia" w:ascii="宋体" w:hAnsi="宋体" w:cs="宋体"/>
          <w:color w:val="auto"/>
          <w:highlight w:val="none"/>
        </w:rPr>
        <w:t>点30分</w:t>
      </w:r>
      <w:r>
        <w:rPr>
          <w:rFonts w:hint="eastAsia" w:ascii="宋体" w:hAnsi="宋体" w:cs="宋体"/>
          <w:color w:val="auto"/>
          <w:szCs w:val="21"/>
          <w:highlight w:val="none"/>
        </w:rPr>
        <w:t>（北京时间）前提交响应文件。</w:t>
      </w:r>
    </w:p>
    <w:p>
      <w:pPr>
        <w:spacing w:line="440" w:lineRule="exact"/>
        <w:ind w:firstLine="422" w:firstLineChars="200"/>
        <w:rPr>
          <w:b/>
          <w:bCs/>
          <w:color w:val="auto"/>
          <w:highlight w:val="none"/>
        </w:rPr>
      </w:pPr>
      <w:bookmarkStart w:id="2" w:name="_Toc28359089"/>
      <w:bookmarkStart w:id="3" w:name="_Toc35393798"/>
      <w:bookmarkStart w:id="4" w:name="_Toc35393629"/>
      <w:bookmarkStart w:id="5" w:name="_Toc28359012"/>
      <w:r>
        <w:rPr>
          <w:rFonts w:hint="eastAsia"/>
          <w:b/>
          <w:bCs/>
          <w:color w:val="auto"/>
          <w:highlight w:val="none"/>
        </w:rPr>
        <w:t>一、项目基本情况</w:t>
      </w:r>
      <w:bookmarkEnd w:id="2"/>
      <w:bookmarkEnd w:id="3"/>
      <w:bookmarkEnd w:id="4"/>
      <w:bookmarkEnd w:id="5"/>
    </w:p>
    <w:p>
      <w:pPr>
        <w:spacing w:line="440" w:lineRule="exact"/>
        <w:ind w:firstLine="420" w:firstLineChars="200"/>
        <w:rPr>
          <w:rFonts w:hint="eastAsia" w:eastAsia="宋体"/>
          <w:color w:val="auto"/>
          <w:highlight w:val="none"/>
          <w:lang w:eastAsia="zh-CN"/>
        </w:rPr>
      </w:pPr>
      <w:r>
        <w:rPr>
          <w:rFonts w:hint="eastAsia"/>
          <w:color w:val="auto"/>
          <w:highlight w:val="none"/>
        </w:rPr>
        <w:t>项目编号：</w:t>
      </w:r>
      <w:r>
        <w:rPr>
          <w:rFonts w:hint="eastAsia"/>
          <w:color w:val="auto"/>
          <w:highlight w:val="none"/>
          <w:lang w:eastAsia="zh-CN"/>
        </w:rPr>
        <w:t>KLFCGC20233003</w:t>
      </w:r>
    </w:p>
    <w:p>
      <w:pPr>
        <w:spacing w:line="440" w:lineRule="exact"/>
        <w:ind w:firstLine="420" w:firstLineChars="200"/>
        <w:rPr>
          <w:color w:val="auto"/>
          <w:highlight w:val="none"/>
        </w:rPr>
      </w:pPr>
      <w:r>
        <w:rPr>
          <w:rFonts w:hint="eastAsia"/>
          <w:color w:val="auto"/>
          <w:highlight w:val="none"/>
        </w:rPr>
        <w:t>项目名称：</w:t>
      </w:r>
      <w:r>
        <w:rPr>
          <w:rFonts w:hint="eastAsia"/>
          <w:color w:val="auto"/>
          <w:highlight w:val="none"/>
          <w:lang w:eastAsia="zh-CN"/>
        </w:rPr>
        <w:t>防城港市教育局2023年“区培计划”市级统筹项目培训服务采购</w:t>
      </w:r>
    </w:p>
    <w:p>
      <w:pPr>
        <w:spacing w:line="440" w:lineRule="exact"/>
        <w:ind w:firstLine="420" w:firstLineChars="200"/>
        <w:rPr>
          <w:color w:val="auto"/>
          <w:highlight w:val="none"/>
        </w:rPr>
      </w:pPr>
      <w:r>
        <w:rPr>
          <w:rFonts w:hint="eastAsia"/>
          <w:color w:val="auto"/>
          <w:highlight w:val="none"/>
        </w:rPr>
        <w:t>采购方式：□竞争性谈判</w:t>
      </w:r>
      <w:r>
        <w:rPr>
          <w:rFonts w:hint="eastAsia" w:ascii="MS Mincho" w:hAnsi="MS Mincho" w:eastAsia="MS Mincho" w:cs="MS Mincho"/>
          <w:color w:val="auto"/>
          <w:highlight w:val="none"/>
        </w:rPr>
        <w:t>☑</w:t>
      </w:r>
      <w:r>
        <w:rPr>
          <w:rFonts w:hint="eastAsia"/>
          <w:color w:val="auto"/>
          <w:highlight w:val="none"/>
        </w:rPr>
        <w:t>竞争性磋商□询价</w:t>
      </w:r>
    </w:p>
    <w:p>
      <w:pPr>
        <w:spacing w:line="440" w:lineRule="exact"/>
        <w:ind w:firstLine="420" w:firstLineChars="200"/>
        <w:rPr>
          <w:rFonts w:hint="default" w:eastAsia="宋体"/>
          <w:color w:val="auto"/>
          <w:highlight w:val="none"/>
          <w:lang w:val="en-US" w:eastAsia="zh-CN"/>
        </w:rPr>
      </w:pPr>
      <w:r>
        <w:rPr>
          <w:rFonts w:hint="eastAsia"/>
          <w:color w:val="auto"/>
          <w:highlight w:val="none"/>
        </w:rPr>
        <w:t>预算金额：</w:t>
      </w:r>
      <w:r>
        <w:rPr>
          <w:rFonts w:hint="eastAsia"/>
          <w:color w:val="auto"/>
          <w:highlight w:val="none"/>
          <w:lang w:val="en-US" w:eastAsia="zh-CN"/>
        </w:rPr>
        <w:t>人民币肆拾万元整（</w:t>
      </w:r>
      <w:r>
        <w:rPr>
          <w:rFonts w:hint="eastAsia" w:ascii="宋体" w:hAnsi="宋体" w:eastAsia="宋体" w:cs="宋体"/>
          <w:color w:val="auto"/>
          <w:szCs w:val="21"/>
          <w:highlight w:val="none"/>
          <w:lang w:val="en-US" w:eastAsia="zh-CN"/>
        </w:rPr>
        <w:t>¥400000.00</w:t>
      </w:r>
      <w:r>
        <w:rPr>
          <w:rFonts w:hint="eastAsia"/>
          <w:color w:val="auto"/>
          <w:highlight w:val="none"/>
          <w:lang w:val="en-US" w:eastAsia="zh-CN"/>
        </w:rPr>
        <w:t>）</w:t>
      </w:r>
    </w:p>
    <w:p>
      <w:pPr>
        <w:spacing w:line="440" w:lineRule="exact"/>
        <w:ind w:firstLine="420" w:firstLineChars="200"/>
        <w:rPr>
          <w:rFonts w:hint="eastAsia" w:eastAsia="宋体"/>
          <w:color w:val="auto"/>
          <w:highlight w:val="none"/>
          <w:lang w:eastAsia="zh-CN"/>
        </w:rPr>
      </w:pPr>
      <w:r>
        <w:rPr>
          <w:rFonts w:hint="eastAsia"/>
          <w:color w:val="auto"/>
          <w:highlight w:val="none"/>
        </w:rPr>
        <w:t>最高限价（如有）：</w:t>
      </w:r>
      <w:r>
        <w:rPr>
          <w:rFonts w:hint="eastAsia"/>
          <w:color w:val="auto"/>
          <w:highlight w:val="none"/>
          <w:lang w:val="en-US" w:eastAsia="zh-CN"/>
        </w:rPr>
        <w:t>人民币肆拾万元整（</w:t>
      </w:r>
      <w:r>
        <w:rPr>
          <w:rFonts w:hint="eastAsia" w:ascii="宋体" w:hAnsi="宋体" w:eastAsia="宋体" w:cs="宋体"/>
          <w:color w:val="auto"/>
          <w:szCs w:val="21"/>
          <w:highlight w:val="none"/>
          <w:lang w:val="en-US" w:eastAsia="zh-CN"/>
        </w:rPr>
        <w:t>¥400000.00</w:t>
      </w:r>
      <w:r>
        <w:rPr>
          <w:rFonts w:hint="eastAsia"/>
          <w:color w:val="auto"/>
          <w:highlight w:val="none"/>
          <w:lang w:val="en-US" w:eastAsia="zh-CN"/>
        </w:rPr>
        <w:t>）</w:t>
      </w:r>
    </w:p>
    <w:p>
      <w:pPr>
        <w:spacing w:line="440" w:lineRule="exact"/>
        <w:ind w:firstLine="420" w:firstLineChars="200"/>
        <w:rPr>
          <w:color w:val="auto"/>
          <w:highlight w:val="none"/>
        </w:rPr>
      </w:pPr>
      <w:r>
        <w:rPr>
          <w:rFonts w:hint="eastAsia"/>
          <w:color w:val="auto"/>
          <w:highlight w:val="none"/>
        </w:rPr>
        <w:t>采购需求：</w:t>
      </w:r>
      <w:r>
        <w:rPr>
          <w:rFonts w:hint="eastAsia"/>
          <w:color w:val="auto"/>
          <w:highlight w:val="none"/>
          <w:lang w:eastAsia="zh-CN"/>
        </w:rPr>
        <w:t>防城港市教育局2023年“区培计划”市级统筹项目培训服务采购</w:t>
      </w:r>
      <w:r>
        <w:rPr>
          <w:rFonts w:hint="eastAsia"/>
          <w:color w:val="auto"/>
          <w:highlight w:val="none"/>
        </w:rPr>
        <w:t>，具体内容以项目采购需求为准。</w:t>
      </w:r>
    </w:p>
    <w:p>
      <w:pPr>
        <w:spacing w:line="440" w:lineRule="exact"/>
        <w:ind w:firstLine="420" w:firstLineChars="200"/>
        <w:rPr>
          <w:color w:val="auto"/>
          <w:highlight w:val="none"/>
        </w:rPr>
      </w:pPr>
      <w:r>
        <w:rPr>
          <w:rFonts w:hint="eastAsia"/>
          <w:color w:val="auto"/>
          <w:highlight w:val="none"/>
        </w:rPr>
        <w:t>合同履行期限：</w:t>
      </w:r>
      <w:r>
        <w:rPr>
          <w:rFonts w:hint="eastAsia"/>
          <w:color w:val="auto"/>
          <w:highlight w:val="none"/>
          <w:lang w:val="en-US" w:eastAsia="zh-CN"/>
        </w:rPr>
        <w:t>签订合同后，采购人根据实际情况制定具体培训开始的时间及培训期限（含跟踪服务指导期限），成交供应商接到采购人通知后按磋商文件和采购人要求以及响应文件承诺提供培训服务</w:t>
      </w:r>
    </w:p>
    <w:p>
      <w:pPr>
        <w:spacing w:line="440" w:lineRule="exact"/>
        <w:ind w:firstLine="420" w:firstLineChars="200"/>
        <w:rPr>
          <w:rFonts w:hint="default" w:eastAsia="宋体"/>
          <w:color w:val="auto"/>
          <w:highlight w:val="none"/>
          <w:lang w:val="en-US" w:eastAsia="zh-CN"/>
        </w:rPr>
      </w:pPr>
      <w:r>
        <w:rPr>
          <w:rFonts w:hint="eastAsia"/>
          <w:color w:val="auto"/>
          <w:highlight w:val="none"/>
        </w:rPr>
        <w:t>本项目不接受联合体磋商。</w:t>
      </w:r>
      <w:r>
        <w:rPr>
          <w:rFonts w:hint="eastAsia"/>
          <w:color w:val="auto"/>
          <w:highlight w:val="none"/>
          <w:lang w:val="en-US" w:eastAsia="zh-CN"/>
        </w:rPr>
        <w:t xml:space="preserve">                                       </w:t>
      </w:r>
    </w:p>
    <w:p>
      <w:pPr>
        <w:spacing w:line="440" w:lineRule="exact"/>
        <w:ind w:firstLine="422" w:firstLineChars="200"/>
        <w:rPr>
          <w:color w:val="auto"/>
          <w:highlight w:val="none"/>
        </w:rPr>
      </w:pPr>
      <w:bookmarkStart w:id="6" w:name="_Toc35393630"/>
      <w:bookmarkStart w:id="7" w:name="_Toc28359013"/>
      <w:bookmarkStart w:id="8" w:name="_Toc28359090"/>
      <w:bookmarkStart w:id="9" w:name="_Toc35393799"/>
      <w:r>
        <w:rPr>
          <w:rFonts w:hint="eastAsia"/>
          <w:b/>
          <w:bCs/>
          <w:color w:val="auto"/>
          <w:highlight w:val="none"/>
        </w:rPr>
        <w:t>二、申请人的资格要求：</w:t>
      </w:r>
      <w:bookmarkEnd w:id="6"/>
      <w:bookmarkEnd w:id="7"/>
      <w:bookmarkEnd w:id="8"/>
      <w:bookmarkEnd w:id="9"/>
    </w:p>
    <w:p>
      <w:pPr>
        <w:spacing w:line="440" w:lineRule="exact"/>
        <w:ind w:firstLine="420" w:firstLineChars="200"/>
        <w:rPr>
          <w:rFonts w:ascii="宋体" w:cs="宋体"/>
          <w:color w:val="auto"/>
          <w:highlight w:val="none"/>
        </w:rPr>
      </w:pPr>
      <w:r>
        <w:rPr>
          <w:rFonts w:ascii="宋体" w:hAnsi="宋体" w:cs="宋体"/>
          <w:color w:val="auto"/>
          <w:highlight w:val="none"/>
        </w:rPr>
        <w:t>1.</w:t>
      </w:r>
      <w:r>
        <w:rPr>
          <w:rFonts w:hint="eastAsia" w:ascii="宋体" w:hAnsi="宋体" w:cs="宋体"/>
          <w:color w:val="auto"/>
          <w:highlight w:val="none"/>
        </w:rPr>
        <w:t>满足《中华人民共和国政府采购法》第二十二条规定；</w:t>
      </w:r>
    </w:p>
    <w:p>
      <w:pPr>
        <w:spacing w:line="440" w:lineRule="exact"/>
        <w:ind w:firstLine="420" w:firstLineChars="200"/>
        <w:rPr>
          <w:rFonts w:ascii="宋体" w:cs="宋体"/>
          <w:color w:val="auto"/>
          <w:highlight w:val="none"/>
        </w:rPr>
      </w:pPr>
      <w:r>
        <w:rPr>
          <w:rFonts w:ascii="宋体" w:hAnsi="宋体" w:cs="宋体"/>
          <w:color w:val="auto"/>
          <w:highlight w:val="none"/>
        </w:rPr>
        <w:t>2.</w:t>
      </w:r>
      <w:r>
        <w:rPr>
          <w:rFonts w:hint="eastAsia" w:ascii="宋体" w:hAnsi="宋体" w:cs="宋体"/>
          <w:color w:val="auto"/>
          <w:highlight w:val="none"/>
        </w:rPr>
        <w:t>落实政府采购政策需满足的资格要求：无；</w:t>
      </w:r>
    </w:p>
    <w:p>
      <w:pPr>
        <w:pStyle w:val="10"/>
        <w:ind w:firstLine="420" w:firstLineChars="200"/>
        <w:rPr>
          <w:rFonts w:ascii="宋体" w:cs="宋体"/>
          <w:color w:val="auto"/>
          <w:highlight w:val="none"/>
        </w:rPr>
      </w:pPr>
      <w:r>
        <w:rPr>
          <w:rFonts w:hint="eastAsia" w:ascii="宋体" w:hAnsi="宋体" w:cs="宋体"/>
          <w:color w:val="auto"/>
          <w:highlight w:val="none"/>
        </w:rPr>
        <w:t>3.本项目的特定资格要求：</w:t>
      </w:r>
      <w:r>
        <w:rPr>
          <w:rFonts w:hint="eastAsia" w:ascii="宋体" w:hAnsi="宋体" w:cs="宋体"/>
          <w:color w:val="auto"/>
          <w:highlight w:val="none"/>
          <w:lang w:val="en-US" w:eastAsia="zh-CN"/>
        </w:rPr>
        <w:t>无</w:t>
      </w:r>
      <w:r>
        <w:rPr>
          <w:rFonts w:hint="eastAsia" w:ascii="宋体" w:hAnsi="宋体" w:cs="宋体"/>
          <w:color w:val="auto"/>
          <w:highlight w:val="none"/>
        </w:rPr>
        <w:t>。</w:t>
      </w:r>
    </w:p>
    <w:p>
      <w:pPr>
        <w:spacing w:line="440" w:lineRule="exact"/>
        <w:ind w:firstLine="420" w:firstLineChars="200"/>
        <w:rPr>
          <w:rFonts w:ascii="宋体" w:cs="宋体"/>
          <w:color w:val="auto"/>
          <w:highlight w:val="none"/>
        </w:rPr>
      </w:pPr>
      <w:bookmarkStart w:id="10" w:name="_Toc514340096"/>
      <w:r>
        <w:rPr>
          <w:rFonts w:hint="eastAsia" w:ascii="宋体" w:hAnsi="宋体" w:cs="宋体"/>
          <w:color w:val="auto"/>
          <w:highlight w:val="none"/>
        </w:rPr>
        <w:t>三、获取采购文件</w:t>
      </w:r>
    </w:p>
    <w:p>
      <w:pPr>
        <w:spacing w:line="440" w:lineRule="exact"/>
        <w:ind w:firstLine="420" w:firstLineChars="200"/>
        <w:rPr>
          <w:rFonts w:asci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时间：</w:t>
      </w:r>
      <w:r>
        <w:rPr>
          <w:rFonts w:hint="eastAsia" w:ascii="宋体" w:hAnsi="宋体" w:cs="宋体"/>
          <w:color w:val="auto"/>
          <w:szCs w:val="21"/>
          <w:highlight w:val="none"/>
          <w:lang w:eastAsia="zh-CN"/>
        </w:rPr>
        <w:t>2023年</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日至</w:t>
      </w:r>
      <w:r>
        <w:rPr>
          <w:rFonts w:hint="eastAsia" w:ascii="宋体" w:hAnsi="宋体" w:cs="宋体"/>
          <w:color w:val="auto"/>
          <w:szCs w:val="21"/>
          <w:highlight w:val="none"/>
          <w:lang w:eastAsia="zh-CN"/>
        </w:rPr>
        <w:t>2023年</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23</w:t>
      </w:r>
      <w:r>
        <w:rPr>
          <w:rFonts w:hint="eastAsia" w:ascii="宋体" w:hAnsi="宋体" w:cs="宋体"/>
          <w:color w:val="auto"/>
          <w:szCs w:val="21"/>
          <w:highlight w:val="none"/>
        </w:rPr>
        <w:t>日，每天上午</w:t>
      </w:r>
      <w:r>
        <w:rPr>
          <w:rFonts w:ascii="宋体" w:hAnsi="宋体" w:cs="宋体"/>
          <w:color w:val="auto"/>
          <w:szCs w:val="21"/>
          <w:highlight w:val="none"/>
        </w:rPr>
        <w:t>8</w:t>
      </w:r>
      <w:r>
        <w:rPr>
          <w:rFonts w:hint="eastAsia" w:ascii="宋体" w:hAnsi="宋体" w:cs="宋体"/>
          <w:color w:val="auto"/>
          <w:szCs w:val="21"/>
          <w:highlight w:val="none"/>
        </w:rPr>
        <w:t>时至</w:t>
      </w:r>
      <w:r>
        <w:rPr>
          <w:rFonts w:ascii="宋体" w:hAnsi="宋体" w:cs="宋体"/>
          <w:color w:val="auto"/>
          <w:szCs w:val="21"/>
          <w:highlight w:val="none"/>
        </w:rPr>
        <w:t>12</w:t>
      </w:r>
      <w:r>
        <w:rPr>
          <w:rFonts w:hint="eastAsia" w:ascii="宋体" w:hAnsi="宋体" w:cs="宋体"/>
          <w:color w:val="auto"/>
          <w:szCs w:val="21"/>
          <w:highlight w:val="none"/>
        </w:rPr>
        <w:t>时，下午</w:t>
      </w:r>
      <w:r>
        <w:rPr>
          <w:rFonts w:ascii="宋体" w:hAnsi="宋体" w:cs="宋体"/>
          <w:color w:val="auto"/>
          <w:szCs w:val="21"/>
          <w:highlight w:val="none"/>
        </w:rPr>
        <w:t>1</w:t>
      </w:r>
      <w:r>
        <w:rPr>
          <w:rFonts w:hint="eastAsia" w:ascii="宋体" w:hAnsi="宋体" w:cs="宋体"/>
          <w:color w:val="auto"/>
          <w:szCs w:val="21"/>
          <w:highlight w:val="none"/>
        </w:rPr>
        <w:t>5时至</w:t>
      </w:r>
      <w:r>
        <w:rPr>
          <w:rFonts w:ascii="宋体" w:hAnsi="宋体" w:cs="宋体"/>
          <w:color w:val="auto"/>
          <w:szCs w:val="21"/>
          <w:highlight w:val="none"/>
        </w:rPr>
        <w:t>18</w:t>
      </w:r>
      <w:r>
        <w:rPr>
          <w:rFonts w:hint="eastAsia" w:ascii="宋体" w:hAnsi="宋体" w:cs="宋体"/>
          <w:color w:val="auto"/>
          <w:szCs w:val="21"/>
          <w:highlight w:val="none"/>
        </w:rPr>
        <w:t>时（北京时间，法定节假日除外）</w:t>
      </w:r>
    </w:p>
    <w:p>
      <w:pPr>
        <w:spacing w:line="440" w:lineRule="exact"/>
        <w:ind w:firstLine="420" w:firstLineChars="200"/>
        <w:rPr>
          <w:rFonts w:asci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地点：</w:t>
      </w:r>
      <w:r>
        <w:rPr>
          <w:rFonts w:hint="eastAsia" w:ascii="宋体" w:hAnsi="宋体" w:cs="宋体"/>
          <w:color w:val="auto"/>
          <w:highlight w:val="none"/>
        </w:rPr>
        <w:t>广西科联招标中心有限公司防城港分公司（防城港市港口区珍珠路珍珠苑C10栋）</w:t>
      </w:r>
    </w:p>
    <w:p>
      <w:pPr>
        <w:spacing w:line="440" w:lineRule="exact"/>
        <w:ind w:firstLine="420" w:firstLineChars="200"/>
        <w:rPr>
          <w:rFonts w:ascii="宋体" w:hAnsi="宋体" w:cs="宋体"/>
          <w:color w:val="auto"/>
          <w:szCs w:val="21"/>
          <w:highlight w:val="none"/>
        </w:rPr>
      </w:pPr>
      <w:bookmarkStart w:id="11" w:name="_Toc28359015"/>
      <w:bookmarkStart w:id="12" w:name="_Toc35393801"/>
      <w:bookmarkStart w:id="13" w:name="_Toc28359092"/>
      <w:bookmarkStart w:id="14" w:name="_Toc35393632"/>
      <w:bookmarkStart w:id="15" w:name="_Toc18096"/>
      <w:r>
        <w:rPr>
          <w:rFonts w:ascii="宋体" w:hAnsi="宋体" w:cs="宋体"/>
          <w:color w:val="auto"/>
          <w:szCs w:val="21"/>
          <w:highlight w:val="none"/>
        </w:rPr>
        <w:t>3.</w:t>
      </w:r>
      <w:r>
        <w:rPr>
          <w:rFonts w:hint="eastAsia" w:ascii="宋体" w:hAnsi="宋体" w:cs="宋体"/>
          <w:color w:val="auto"/>
          <w:szCs w:val="21"/>
          <w:highlight w:val="none"/>
        </w:rPr>
        <w:t>方式：现场报名或电话报名，联系电话：0770-2821504；（以成功缴纳竞争性磋商文件费为准）</w:t>
      </w:r>
    </w:p>
    <w:p>
      <w:pPr>
        <w:spacing w:line="440" w:lineRule="exact"/>
        <w:ind w:firstLine="420" w:firstLineChars="200"/>
        <w:rPr>
          <w:rFonts w:ascii="宋体" w:hAnsi="宋体" w:cs="宋体"/>
          <w:color w:val="auto"/>
          <w:szCs w:val="21"/>
          <w:highlight w:val="none"/>
        </w:rPr>
      </w:pPr>
      <w:r>
        <w:rPr>
          <w:rFonts w:ascii="宋体" w:hAnsi="宋体" w:cs="宋体"/>
          <w:color w:val="auto"/>
          <w:szCs w:val="21"/>
          <w:highlight w:val="none"/>
        </w:rPr>
        <w:t>4.</w:t>
      </w:r>
      <w:r>
        <w:rPr>
          <w:rFonts w:hint="eastAsia" w:ascii="宋体" w:hAnsi="宋体" w:cs="宋体"/>
          <w:color w:val="auto"/>
          <w:szCs w:val="21"/>
          <w:highlight w:val="none"/>
        </w:rPr>
        <w:t>售价：竞争性磋商文件工本费每套</w:t>
      </w:r>
      <w:r>
        <w:rPr>
          <w:rFonts w:hint="eastAsia" w:ascii="宋体" w:hAnsi="宋体" w:cs="宋体"/>
          <w:color w:val="auto"/>
          <w:szCs w:val="21"/>
          <w:highlight w:val="none"/>
          <w:lang w:val="en-US" w:eastAsia="zh-CN"/>
        </w:rPr>
        <w:t>300</w:t>
      </w:r>
      <w:r>
        <w:rPr>
          <w:rFonts w:hint="eastAsia" w:ascii="宋体" w:hAnsi="宋体" w:cs="宋体"/>
          <w:color w:val="auto"/>
          <w:szCs w:val="21"/>
          <w:highlight w:val="none"/>
        </w:rPr>
        <w:t>元（如需邮寄，邮费由供应商自行负责），竞争性磋商文件售后不退。</w:t>
      </w:r>
    </w:p>
    <w:p>
      <w:pPr>
        <w:spacing w:line="440" w:lineRule="exact"/>
        <w:ind w:firstLine="420" w:firstLineChars="200"/>
        <w:rPr>
          <w:rFonts w:ascii="宋体" w:cs="宋体"/>
          <w:color w:val="auto"/>
          <w:highlight w:val="none"/>
        </w:rPr>
      </w:pPr>
      <w:r>
        <w:rPr>
          <w:rFonts w:hint="eastAsia" w:ascii="宋体" w:hAnsi="宋体" w:cs="宋体"/>
          <w:color w:val="auto"/>
          <w:highlight w:val="none"/>
        </w:rPr>
        <w:t>四、响应文件提交</w:t>
      </w:r>
    </w:p>
    <w:p>
      <w:pPr>
        <w:spacing w:line="440" w:lineRule="exact"/>
        <w:ind w:firstLine="420" w:firstLineChars="200"/>
        <w:rPr>
          <w:rFonts w:ascii="宋体" w:cs="宋体"/>
          <w:color w:val="auto"/>
          <w:highlight w:val="none"/>
        </w:rPr>
      </w:pPr>
      <w:r>
        <w:rPr>
          <w:rFonts w:hint="eastAsia" w:ascii="宋体" w:hAnsi="宋体" w:cs="宋体"/>
          <w:color w:val="auto"/>
          <w:highlight w:val="none"/>
        </w:rPr>
        <w:t>截止时间：</w:t>
      </w:r>
      <w:r>
        <w:rPr>
          <w:rFonts w:hint="eastAsia" w:ascii="宋体" w:hAnsi="宋体" w:cs="宋体"/>
          <w:color w:val="auto"/>
          <w:highlight w:val="none"/>
          <w:lang w:eastAsia="zh-CN"/>
        </w:rPr>
        <w:t>2023年5月29日15点30分</w:t>
      </w:r>
      <w:r>
        <w:rPr>
          <w:rFonts w:hint="eastAsia" w:ascii="宋体" w:hAnsi="宋体" w:cs="宋体"/>
          <w:color w:val="auto"/>
          <w:highlight w:val="none"/>
        </w:rPr>
        <w:t>（北京时间）</w:t>
      </w:r>
    </w:p>
    <w:p>
      <w:pPr>
        <w:spacing w:line="440" w:lineRule="exact"/>
        <w:ind w:firstLine="420" w:firstLineChars="200"/>
        <w:rPr>
          <w:rFonts w:ascii="宋体" w:cs="宋体"/>
          <w:color w:val="auto"/>
          <w:highlight w:val="none"/>
        </w:rPr>
      </w:pPr>
      <w:r>
        <w:rPr>
          <w:rFonts w:hint="eastAsia" w:ascii="宋体" w:hAnsi="宋体" w:cs="宋体"/>
          <w:color w:val="auto"/>
          <w:highlight w:val="none"/>
        </w:rPr>
        <w:t>地点：广西科联招标中心有限公司防城港分公司（防城港市港口区珍珠路珍珠苑C10栋）</w:t>
      </w:r>
    </w:p>
    <w:p>
      <w:pPr>
        <w:spacing w:line="440" w:lineRule="exact"/>
        <w:ind w:firstLine="420" w:firstLineChars="200"/>
        <w:rPr>
          <w:rFonts w:ascii="宋体" w:cs="宋体"/>
          <w:color w:val="auto"/>
          <w:highlight w:val="none"/>
        </w:rPr>
      </w:pPr>
      <w:r>
        <w:rPr>
          <w:rFonts w:hint="eastAsia" w:ascii="宋体" w:hAnsi="宋体" w:cs="宋体"/>
          <w:color w:val="auto"/>
          <w:highlight w:val="none"/>
        </w:rPr>
        <w:t>五、开启</w:t>
      </w:r>
    </w:p>
    <w:p>
      <w:pPr>
        <w:spacing w:line="440" w:lineRule="exact"/>
        <w:ind w:firstLine="420" w:firstLineChars="200"/>
        <w:rPr>
          <w:rFonts w:ascii="宋体" w:cs="宋体"/>
          <w:color w:val="auto"/>
          <w:highlight w:val="none"/>
        </w:rPr>
      </w:pPr>
      <w:r>
        <w:rPr>
          <w:rFonts w:hint="eastAsia" w:ascii="宋体" w:hAnsi="宋体" w:cs="宋体"/>
          <w:color w:val="auto"/>
          <w:highlight w:val="none"/>
        </w:rPr>
        <w:t>时间：</w:t>
      </w:r>
      <w:r>
        <w:rPr>
          <w:rFonts w:hint="eastAsia" w:ascii="宋体" w:hAnsi="宋体" w:cs="宋体"/>
          <w:color w:val="auto"/>
          <w:highlight w:val="none"/>
          <w:lang w:eastAsia="zh-CN"/>
        </w:rPr>
        <w:t>2023年5月29日15点30分</w:t>
      </w:r>
      <w:r>
        <w:rPr>
          <w:rFonts w:hint="eastAsia" w:ascii="宋体" w:hAnsi="宋体" w:cs="宋体"/>
          <w:color w:val="auto"/>
          <w:highlight w:val="none"/>
        </w:rPr>
        <w:t>（北京时间）后至评标开始前</w:t>
      </w:r>
    </w:p>
    <w:p>
      <w:pPr>
        <w:spacing w:line="440" w:lineRule="exact"/>
        <w:ind w:firstLine="420" w:firstLineChars="200"/>
        <w:rPr>
          <w:rFonts w:ascii="宋体" w:cs="宋体"/>
          <w:color w:val="auto"/>
          <w:highlight w:val="none"/>
        </w:rPr>
      </w:pPr>
      <w:r>
        <w:rPr>
          <w:rFonts w:hint="eastAsia" w:ascii="宋体" w:hAnsi="宋体" w:cs="宋体"/>
          <w:color w:val="auto"/>
          <w:highlight w:val="none"/>
        </w:rPr>
        <w:t>地点：广西科联招标中心有限公司防城港分公司（防城港市港口区珍珠路珍珠苑C10栋）</w:t>
      </w:r>
    </w:p>
    <w:p>
      <w:pPr>
        <w:spacing w:line="440" w:lineRule="exact"/>
        <w:ind w:firstLine="420" w:firstLineChars="200"/>
        <w:rPr>
          <w:rFonts w:ascii="宋体" w:cs="宋体"/>
          <w:color w:val="auto"/>
          <w:highlight w:val="none"/>
        </w:rPr>
      </w:pPr>
      <w:r>
        <w:rPr>
          <w:rFonts w:hint="eastAsia" w:ascii="宋体" w:hAnsi="宋体" w:cs="宋体"/>
          <w:color w:val="auto"/>
          <w:highlight w:val="none"/>
        </w:rPr>
        <w:t>六、公告期限</w:t>
      </w:r>
    </w:p>
    <w:p>
      <w:pPr>
        <w:spacing w:line="440" w:lineRule="exact"/>
        <w:ind w:firstLine="420" w:firstLineChars="200"/>
        <w:rPr>
          <w:rFonts w:ascii="宋体" w:cs="宋体"/>
          <w:color w:val="auto"/>
          <w:highlight w:val="none"/>
        </w:rPr>
      </w:pPr>
      <w:r>
        <w:rPr>
          <w:rFonts w:hint="eastAsia" w:ascii="宋体" w:hAnsi="宋体" w:cs="宋体"/>
          <w:color w:val="auto"/>
          <w:highlight w:val="none"/>
        </w:rPr>
        <w:t>自本公告发布之日起3个工作日。</w:t>
      </w:r>
    </w:p>
    <w:p>
      <w:pPr>
        <w:spacing w:line="440" w:lineRule="exact"/>
        <w:ind w:firstLine="420" w:firstLineChars="200"/>
        <w:rPr>
          <w:rFonts w:ascii="宋体" w:cs="宋体"/>
          <w:color w:val="auto"/>
          <w:highlight w:val="none"/>
        </w:rPr>
      </w:pPr>
      <w:r>
        <w:rPr>
          <w:rFonts w:hint="eastAsia" w:ascii="宋体" w:hAnsi="宋体" w:cs="宋体"/>
          <w:color w:val="auto"/>
          <w:highlight w:val="none"/>
        </w:rPr>
        <w:t>七、其他补充事宜</w:t>
      </w:r>
    </w:p>
    <w:p>
      <w:pPr>
        <w:spacing w:line="440" w:lineRule="exact"/>
        <w:ind w:firstLine="420" w:firstLineChars="200"/>
        <w:rPr>
          <w:rFonts w:ascii="宋体" w:cs="宋体"/>
          <w:color w:val="auto"/>
          <w:highlight w:val="none"/>
        </w:rPr>
      </w:pPr>
      <w:r>
        <w:rPr>
          <w:rFonts w:ascii="宋体" w:hAnsi="宋体" w:cs="宋体"/>
          <w:color w:val="auto"/>
          <w:highlight w:val="none"/>
        </w:rPr>
        <w:t>1.</w:t>
      </w:r>
      <w:r>
        <w:rPr>
          <w:rFonts w:hint="eastAsia" w:ascii="宋体" w:hAnsi="宋体" w:cs="宋体"/>
          <w:color w:val="auto"/>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pacing w:line="440" w:lineRule="exact"/>
        <w:ind w:firstLine="420" w:firstLineChars="200"/>
        <w:rPr>
          <w:rFonts w:ascii="宋体" w:hAnsi="宋体" w:cs="宋体"/>
          <w:color w:val="auto"/>
          <w:highlight w:val="none"/>
        </w:rPr>
      </w:pPr>
      <w:r>
        <w:rPr>
          <w:rFonts w:ascii="宋体" w:hAnsi="宋体" w:cs="宋体"/>
          <w:color w:val="auto"/>
          <w:highlight w:val="none"/>
        </w:rPr>
        <w:t>2.</w:t>
      </w:r>
      <w:r>
        <w:rPr>
          <w:rFonts w:hint="eastAsia" w:ascii="宋体" w:hAnsi="宋体" w:cs="宋体"/>
          <w:color w:val="auto"/>
          <w:highlight w:val="none"/>
        </w:rPr>
        <w:t>对在“信用中国”网站 、中国政府采购网被列入失信被执行人、重大税收违法案件当事人名单、政府采购严重违法失信行为记录名单及其他不符合《中华人民共和国政府采购法》第二十二条规定条件的供应商，不得参与政府采购活动；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0" w:firstLineChars="200"/>
        <w:rPr>
          <w:rFonts w:ascii="宋体" w:cs="宋体"/>
          <w:color w:val="auto"/>
          <w:highlight w:val="none"/>
        </w:rPr>
      </w:pPr>
      <w:r>
        <w:rPr>
          <w:rFonts w:hint="eastAsia" w:ascii="宋体" w:hAnsi="宋体" w:cs="宋体"/>
          <w:color w:val="auto"/>
          <w:highlight w:val="none"/>
        </w:rPr>
        <w:t>3.网上查询地址：中国采购与招标网</w:t>
      </w:r>
      <w:r>
        <w:rPr>
          <w:rFonts w:hint="eastAsia" w:ascii="宋体" w:hAnsi="宋体" w:cs="宋体"/>
          <w:color w:val="auto"/>
          <w:highlight w:val="none"/>
          <w:lang w:eastAsia="zh-CN"/>
        </w:rPr>
        <w:t>、</w:t>
      </w:r>
      <w:r>
        <w:rPr>
          <w:rFonts w:hint="eastAsia" w:ascii="宋体" w:hAnsi="宋体" w:cs="宋体"/>
          <w:color w:val="auto"/>
          <w:highlight w:val="none"/>
          <w:lang w:val="en-US" w:eastAsia="zh-CN"/>
        </w:rPr>
        <w:t>广西科联招标中心有限公司网</w:t>
      </w:r>
      <w:r>
        <w:rPr>
          <w:rFonts w:hint="eastAsia" w:ascii="宋体" w:hAnsi="宋体" w:cs="宋体"/>
          <w:color w:val="auto"/>
          <w:highlight w:val="none"/>
        </w:rPr>
        <w:t>。</w:t>
      </w:r>
    </w:p>
    <w:p>
      <w:pPr>
        <w:spacing w:line="440" w:lineRule="exact"/>
        <w:ind w:firstLine="420" w:firstLineChars="200"/>
        <w:rPr>
          <w:rFonts w:ascii="宋体" w:cs="宋体"/>
          <w:color w:val="auto"/>
          <w:highlight w:val="none"/>
        </w:rPr>
      </w:pPr>
      <w:r>
        <w:rPr>
          <w:rFonts w:hint="eastAsia" w:ascii="宋体" w:hAnsi="宋体" w:cs="宋体"/>
          <w:color w:val="auto"/>
          <w:highlight w:val="none"/>
        </w:rPr>
        <w:t>4</w:t>
      </w:r>
      <w:r>
        <w:rPr>
          <w:rFonts w:ascii="宋体" w:hAnsi="宋体" w:cs="宋体"/>
          <w:color w:val="auto"/>
          <w:highlight w:val="none"/>
        </w:rPr>
        <w:t>.</w:t>
      </w:r>
      <w:r>
        <w:rPr>
          <w:rFonts w:hint="eastAsia" w:ascii="宋体" w:hAnsi="宋体" w:cs="宋体"/>
          <w:color w:val="auto"/>
          <w:highlight w:val="none"/>
        </w:rPr>
        <w:t>本项目需要落实的政府采购政策：</w:t>
      </w:r>
    </w:p>
    <w:p>
      <w:pPr>
        <w:spacing w:line="440" w:lineRule="exact"/>
        <w:ind w:firstLine="420" w:firstLineChars="200"/>
        <w:rPr>
          <w:rFonts w:ascii="宋体" w:cs="宋体"/>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）政府采购促进中小企业发展。</w:t>
      </w:r>
    </w:p>
    <w:p>
      <w:pPr>
        <w:spacing w:line="440" w:lineRule="exact"/>
        <w:ind w:firstLine="420" w:firstLineChars="200"/>
        <w:rPr>
          <w:rFonts w:asci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2</w:t>
      </w:r>
      <w:r>
        <w:rPr>
          <w:rFonts w:hint="eastAsia" w:ascii="宋体" w:hAnsi="宋体" w:cs="宋体"/>
          <w:color w:val="auto"/>
          <w:highlight w:val="none"/>
        </w:rPr>
        <w:t>）政府采购促进残疾人就业政策。</w:t>
      </w:r>
    </w:p>
    <w:p>
      <w:pPr>
        <w:spacing w:line="440" w:lineRule="exact"/>
        <w:ind w:firstLine="420" w:firstLineChars="200"/>
        <w:rPr>
          <w:rFonts w:ascii="宋体" w:cs="宋体"/>
          <w:color w:val="auto"/>
          <w:highlight w:val="none"/>
        </w:rPr>
      </w:pP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）政府采购支持监狱企业发展。</w:t>
      </w:r>
    </w:p>
    <w:p>
      <w:pPr>
        <w:spacing w:line="440" w:lineRule="exact"/>
        <w:ind w:firstLine="420" w:firstLineChars="200"/>
        <w:rPr>
          <w:rFonts w:ascii="宋体" w:cs="宋体"/>
          <w:color w:val="auto"/>
          <w:highlight w:val="none"/>
        </w:rPr>
      </w:pPr>
      <w:r>
        <w:rPr>
          <w:rFonts w:hint="eastAsia" w:ascii="宋体" w:hAnsi="宋体" w:cs="宋体"/>
          <w:color w:val="auto"/>
          <w:highlight w:val="none"/>
        </w:rPr>
        <w:t>5</w:t>
      </w:r>
      <w:r>
        <w:rPr>
          <w:rFonts w:ascii="宋体" w:hAnsi="宋体" w:cs="宋体"/>
          <w:color w:val="auto"/>
          <w:highlight w:val="none"/>
        </w:rPr>
        <w:t>.</w:t>
      </w:r>
      <w:r>
        <w:rPr>
          <w:rFonts w:hint="eastAsia" w:ascii="宋体" w:hAnsi="宋体" w:cs="宋体"/>
          <w:color w:val="auto"/>
          <w:highlight w:val="none"/>
        </w:rPr>
        <w:t>磋商保证金：不收取磋商保证金。</w:t>
      </w:r>
    </w:p>
    <w:p>
      <w:pPr>
        <w:spacing w:line="440" w:lineRule="exact"/>
        <w:ind w:firstLine="420" w:firstLineChars="200"/>
        <w:rPr>
          <w:rFonts w:ascii="宋体" w:cs="宋体"/>
          <w:color w:val="auto"/>
          <w:highlight w:val="none"/>
        </w:rPr>
      </w:pPr>
      <w:r>
        <w:rPr>
          <w:rFonts w:hint="eastAsia" w:ascii="宋体" w:hAnsi="宋体" w:cs="宋体"/>
          <w:color w:val="auto"/>
          <w:highlight w:val="none"/>
        </w:rPr>
        <w:t>八、凡对本次采购提出询问，请按以下方式联系。</w:t>
      </w:r>
      <w:bookmarkStart w:id="143" w:name="_GoBack"/>
      <w:bookmarkEnd w:id="143"/>
    </w:p>
    <w:bookmarkEnd w:id="11"/>
    <w:bookmarkEnd w:id="12"/>
    <w:bookmarkEnd w:id="13"/>
    <w:bookmarkEnd w:id="14"/>
    <w:bookmarkEnd w:id="15"/>
    <w:p>
      <w:pPr>
        <w:spacing w:line="380" w:lineRule="exact"/>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1.采购人信息</w:t>
      </w:r>
    </w:p>
    <w:p>
      <w:pPr>
        <w:spacing w:line="380" w:lineRule="exact"/>
        <w:ind w:firstLine="420" w:firstLineChars="200"/>
        <w:jc w:val="left"/>
        <w:rPr>
          <w:rFonts w:hint="default" w:ascii="宋体" w:hAnsi="宋体" w:eastAsia="宋体" w:cs="宋体"/>
          <w:color w:val="auto"/>
          <w:kern w:val="0"/>
          <w:szCs w:val="21"/>
          <w:highlight w:val="none"/>
          <w:u w:val="none"/>
          <w:lang w:val="en-US" w:eastAsia="zh-CN"/>
        </w:rPr>
      </w:pPr>
      <w:r>
        <w:rPr>
          <w:rFonts w:hint="eastAsia" w:ascii="宋体" w:hAnsi="宋体" w:eastAsia="宋体" w:cs="宋体"/>
          <w:color w:val="auto"/>
          <w:szCs w:val="21"/>
          <w:highlight w:val="none"/>
          <w:u w:val="none"/>
        </w:rPr>
        <w:t xml:space="preserve">名 </w:t>
      </w:r>
      <w:r>
        <w:rPr>
          <w:rFonts w:hint="eastAsia" w:ascii="宋体" w:hAnsi="宋体" w:eastAsia="宋体" w:cs="宋体"/>
          <w:color w:val="auto"/>
          <w:szCs w:val="21"/>
          <w:highlight w:val="none"/>
          <w:u w:val="none"/>
          <w:lang w:val="en-US" w:eastAsia="zh-CN"/>
        </w:rPr>
        <w:t xml:space="preserve"> </w:t>
      </w:r>
      <w:r>
        <w:rPr>
          <w:rFonts w:hint="eastAsia" w:ascii="宋体" w:hAnsi="宋体" w:eastAsia="宋体" w:cs="宋体"/>
          <w:color w:val="auto"/>
          <w:szCs w:val="21"/>
          <w:highlight w:val="none"/>
          <w:u w:val="none"/>
        </w:rPr>
        <w:t>称：</w:t>
      </w:r>
      <w:r>
        <w:rPr>
          <w:rFonts w:hint="eastAsia" w:ascii="宋体" w:hAnsi="宋体" w:eastAsia="宋体" w:cs="宋体"/>
          <w:color w:val="auto"/>
          <w:kern w:val="0"/>
          <w:szCs w:val="21"/>
          <w:highlight w:val="none"/>
          <w:u w:val="none"/>
          <w:lang w:val="en-US" w:eastAsia="zh-CN"/>
        </w:rPr>
        <w:t>防城港市教育局</w:t>
      </w:r>
    </w:p>
    <w:p>
      <w:pPr>
        <w:spacing w:line="380" w:lineRule="exact"/>
        <w:ind w:firstLine="420" w:firstLineChars="200"/>
        <w:jc w:val="left"/>
        <w:rPr>
          <w:rFonts w:hint="eastAsia" w:ascii="宋体" w:hAnsi="宋体" w:eastAsia="宋体" w:cs="宋体"/>
          <w:color w:val="auto"/>
          <w:kern w:val="0"/>
          <w:szCs w:val="21"/>
          <w:highlight w:val="none"/>
          <w:u w:val="none"/>
          <w:lang w:val="en-US" w:eastAsia="zh-CN"/>
        </w:rPr>
      </w:pPr>
      <w:r>
        <w:rPr>
          <w:rFonts w:hint="eastAsia" w:ascii="宋体" w:hAnsi="宋体" w:eastAsia="宋体" w:cs="宋体"/>
          <w:color w:val="auto"/>
          <w:szCs w:val="21"/>
          <w:highlight w:val="none"/>
          <w:u w:val="none"/>
        </w:rPr>
        <w:t>地</w:t>
      </w:r>
      <w:r>
        <w:rPr>
          <w:rFonts w:hint="eastAsia" w:ascii="宋体" w:hAnsi="宋体" w:eastAsia="宋体" w:cs="宋体"/>
          <w:color w:val="auto"/>
          <w:szCs w:val="21"/>
          <w:highlight w:val="none"/>
          <w:u w:val="none"/>
          <w:lang w:val="en-US" w:eastAsia="zh-CN"/>
        </w:rPr>
        <w:t xml:space="preserve">  </w:t>
      </w:r>
      <w:r>
        <w:rPr>
          <w:rFonts w:hint="eastAsia" w:ascii="宋体" w:hAnsi="宋体" w:eastAsia="宋体" w:cs="宋体"/>
          <w:color w:val="auto"/>
          <w:szCs w:val="21"/>
          <w:highlight w:val="none"/>
          <w:u w:val="none"/>
        </w:rPr>
        <w:t>址：防城港市</w:t>
      </w:r>
      <w:r>
        <w:rPr>
          <w:rFonts w:hint="eastAsia" w:ascii="宋体" w:hAnsi="宋体" w:eastAsia="宋体" w:cs="宋体"/>
          <w:color w:val="auto"/>
          <w:szCs w:val="21"/>
          <w:highlight w:val="none"/>
          <w:u w:val="none"/>
          <w:lang w:eastAsia="zh-CN"/>
        </w:rPr>
        <w:t>港口</w:t>
      </w:r>
      <w:r>
        <w:rPr>
          <w:rFonts w:hint="eastAsia" w:ascii="宋体" w:hAnsi="宋体" w:eastAsia="宋体" w:cs="宋体"/>
          <w:color w:val="auto"/>
          <w:szCs w:val="21"/>
          <w:highlight w:val="none"/>
          <w:u w:val="none"/>
        </w:rPr>
        <w:t>区万山路500号</w:t>
      </w:r>
      <w:r>
        <w:rPr>
          <w:rFonts w:hint="eastAsia" w:ascii="宋体" w:hAnsi="宋体" w:eastAsia="宋体" w:cs="宋体"/>
          <w:color w:val="auto"/>
          <w:szCs w:val="21"/>
          <w:highlight w:val="none"/>
          <w:u w:val="none"/>
          <w:lang w:eastAsia="zh-CN"/>
        </w:rPr>
        <w:t>（</w:t>
      </w:r>
      <w:r>
        <w:rPr>
          <w:rFonts w:hint="eastAsia" w:ascii="宋体" w:hAnsi="宋体" w:eastAsia="宋体" w:cs="宋体"/>
          <w:color w:val="auto"/>
          <w:szCs w:val="21"/>
          <w:highlight w:val="none"/>
          <w:u w:val="none"/>
        </w:rPr>
        <w:t>林业大厦</w:t>
      </w:r>
      <w:r>
        <w:rPr>
          <w:rFonts w:hint="eastAsia" w:ascii="宋体" w:hAnsi="宋体" w:eastAsia="宋体" w:cs="宋体"/>
          <w:color w:val="auto"/>
          <w:szCs w:val="21"/>
          <w:highlight w:val="none"/>
          <w:u w:val="none"/>
          <w:lang w:eastAsia="zh-CN"/>
        </w:rPr>
        <w:t>）</w:t>
      </w:r>
    </w:p>
    <w:p>
      <w:pPr>
        <w:spacing w:line="380" w:lineRule="exact"/>
        <w:ind w:firstLine="420" w:firstLineChars="200"/>
        <w:jc w:val="left"/>
        <w:rPr>
          <w:rFonts w:hint="default" w:ascii="宋体" w:hAnsi="宋体" w:eastAsia="宋体" w:cs="宋体"/>
          <w:color w:val="auto"/>
          <w:szCs w:val="21"/>
          <w:highlight w:val="none"/>
          <w:u w:val="none"/>
          <w:lang w:val="en-US" w:eastAsia="zh-CN"/>
        </w:rPr>
      </w:pPr>
      <w:r>
        <w:rPr>
          <w:rFonts w:hint="eastAsia" w:ascii="宋体" w:hAnsi="宋体" w:eastAsia="宋体" w:cs="宋体"/>
          <w:color w:val="auto"/>
          <w:szCs w:val="21"/>
          <w:highlight w:val="none"/>
          <w:u w:val="none"/>
          <w:lang w:eastAsia="zh-CN"/>
        </w:rPr>
        <w:t>联系方式：</w:t>
      </w:r>
      <w:r>
        <w:rPr>
          <w:rFonts w:hint="eastAsia" w:ascii="宋体" w:hAnsi="宋体" w:eastAsia="宋体" w:cs="宋体"/>
          <w:color w:val="auto"/>
          <w:kern w:val="0"/>
          <w:szCs w:val="21"/>
          <w:highlight w:val="none"/>
          <w:u w:val="none"/>
          <w:lang w:eastAsia="zh-CN"/>
        </w:rPr>
        <w:t>文冠华，电话：</w:t>
      </w:r>
      <w:r>
        <w:rPr>
          <w:rFonts w:hint="eastAsia" w:ascii="宋体" w:hAnsi="宋体" w:eastAsia="宋体" w:cs="宋体"/>
          <w:color w:val="auto"/>
          <w:kern w:val="0"/>
          <w:szCs w:val="21"/>
          <w:highlight w:val="none"/>
          <w:u w:val="none"/>
          <w:lang w:val="en-US" w:eastAsia="zh-CN"/>
        </w:rPr>
        <w:t>0770-2883820</w:t>
      </w:r>
    </w:p>
    <w:p>
      <w:pPr>
        <w:spacing w:line="380" w:lineRule="exact"/>
        <w:ind w:firstLine="420" w:firstLineChars="200"/>
        <w:rPr>
          <w:rFonts w:hint="eastAsia" w:ascii="宋体" w:hAnsi="宋体" w:eastAsia="宋体" w:cs="宋体"/>
          <w:color w:val="auto"/>
          <w:kern w:val="0"/>
          <w:szCs w:val="21"/>
          <w:highlight w:val="none"/>
          <w:lang w:val="en-US" w:eastAsia="zh-CN"/>
        </w:rPr>
      </w:pPr>
      <w:bookmarkStart w:id="16" w:name="_Toc35393807"/>
      <w:bookmarkStart w:id="17" w:name="_Toc28359097"/>
      <w:bookmarkStart w:id="18" w:name="_Toc35393638"/>
      <w:bookmarkStart w:id="19" w:name="_Toc28359020"/>
      <w:r>
        <w:rPr>
          <w:rFonts w:hint="eastAsia" w:ascii="宋体" w:hAnsi="宋体" w:eastAsia="宋体" w:cs="宋体"/>
          <w:color w:val="auto"/>
          <w:kern w:val="0"/>
          <w:szCs w:val="21"/>
          <w:highlight w:val="none"/>
          <w:lang w:val="en-US" w:eastAsia="zh-CN"/>
        </w:rPr>
        <w:t>2.采购代理机构信息</w:t>
      </w:r>
      <w:bookmarkEnd w:id="16"/>
      <w:bookmarkEnd w:id="17"/>
      <w:bookmarkEnd w:id="18"/>
      <w:bookmarkEnd w:id="19"/>
    </w:p>
    <w:p>
      <w:pPr>
        <w:spacing w:line="380" w:lineRule="exact"/>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名 称：广西科联招标中心有限公司</w:t>
      </w:r>
    </w:p>
    <w:p>
      <w:pPr>
        <w:spacing w:line="380" w:lineRule="exact"/>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地 址：防城港市港口区珍珠路珍珠苑C10栋</w:t>
      </w:r>
    </w:p>
    <w:p>
      <w:pPr>
        <w:spacing w:line="380" w:lineRule="exact"/>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联系方式：0770-2821504</w:t>
      </w:r>
    </w:p>
    <w:p>
      <w:pPr>
        <w:spacing w:line="380" w:lineRule="exact"/>
        <w:ind w:firstLine="420" w:firstLineChars="200"/>
        <w:rPr>
          <w:rFonts w:hint="eastAsia" w:ascii="宋体" w:hAnsi="宋体" w:eastAsia="宋体" w:cs="宋体"/>
          <w:color w:val="auto"/>
          <w:kern w:val="0"/>
          <w:szCs w:val="21"/>
          <w:highlight w:val="none"/>
          <w:lang w:val="en-US" w:eastAsia="zh-CN"/>
        </w:rPr>
      </w:pPr>
      <w:bookmarkStart w:id="20" w:name="_Toc28359021"/>
      <w:bookmarkStart w:id="21" w:name="_Toc35393808"/>
      <w:bookmarkStart w:id="22" w:name="_Toc28359098"/>
      <w:bookmarkStart w:id="23" w:name="_Toc35393639"/>
      <w:r>
        <w:rPr>
          <w:rFonts w:hint="eastAsia" w:ascii="宋体" w:hAnsi="宋体" w:eastAsia="宋体" w:cs="宋体"/>
          <w:color w:val="auto"/>
          <w:kern w:val="0"/>
          <w:szCs w:val="21"/>
          <w:highlight w:val="none"/>
          <w:lang w:val="en-US" w:eastAsia="zh-CN"/>
        </w:rPr>
        <w:t>3.项目联系方式</w:t>
      </w:r>
      <w:bookmarkEnd w:id="20"/>
      <w:bookmarkEnd w:id="21"/>
      <w:bookmarkEnd w:id="22"/>
      <w:bookmarkEnd w:id="23"/>
    </w:p>
    <w:p>
      <w:pPr>
        <w:spacing w:line="380" w:lineRule="exact"/>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项目联系人：梁莉萍</w:t>
      </w:r>
    </w:p>
    <w:p>
      <w:pPr>
        <w:spacing w:line="380" w:lineRule="exact"/>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电 话：0770-2821504</w:t>
      </w:r>
    </w:p>
    <w:p>
      <w:pPr>
        <w:pStyle w:val="12"/>
        <w:spacing w:line="440" w:lineRule="exact"/>
        <w:rPr>
          <w:color w:val="auto"/>
          <w:highlight w:val="none"/>
        </w:rPr>
      </w:pPr>
    </w:p>
    <w:p>
      <w:pPr>
        <w:spacing w:line="440" w:lineRule="exact"/>
        <w:ind w:firstLine="420" w:firstLineChars="200"/>
        <w:jc w:val="right"/>
        <w:rPr>
          <w:rFonts w:hint="eastAsia" w:ascii="宋体" w:hAnsi="宋体" w:eastAsia="宋体" w:cs="宋体"/>
          <w:color w:val="auto"/>
          <w:kern w:val="0"/>
          <w:szCs w:val="21"/>
          <w:highlight w:val="none"/>
          <w:u w:val="none"/>
          <w:lang w:val="en-US" w:eastAsia="zh-CN"/>
        </w:rPr>
      </w:pPr>
      <w:r>
        <w:rPr>
          <w:rFonts w:hint="eastAsia" w:ascii="宋体" w:hAnsi="宋体" w:cs="宋体"/>
          <w:color w:val="auto"/>
          <w:kern w:val="0"/>
          <w:szCs w:val="21"/>
          <w:highlight w:val="none"/>
          <w:u w:val="none"/>
          <w:lang w:val="en-US" w:eastAsia="zh-CN"/>
        </w:rPr>
        <w:t>采购人：</w:t>
      </w:r>
      <w:r>
        <w:rPr>
          <w:rFonts w:hint="eastAsia" w:ascii="宋体" w:hAnsi="宋体" w:eastAsia="宋体" w:cs="宋体"/>
          <w:color w:val="auto"/>
          <w:kern w:val="0"/>
          <w:szCs w:val="21"/>
          <w:highlight w:val="none"/>
          <w:u w:val="none"/>
          <w:lang w:val="en-US" w:eastAsia="zh-CN"/>
        </w:rPr>
        <w:t>防城港市教育局</w:t>
      </w:r>
    </w:p>
    <w:p>
      <w:pPr>
        <w:spacing w:line="440" w:lineRule="exact"/>
        <w:ind w:firstLine="420" w:firstLineChars="200"/>
        <w:jc w:val="right"/>
        <w:rPr>
          <w:rFonts w:ascii="宋体" w:cs="宋体"/>
          <w:color w:val="auto"/>
          <w:szCs w:val="32"/>
          <w:highlight w:val="none"/>
        </w:rPr>
      </w:pPr>
      <w:r>
        <w:rPr>
          <w:rFonts w:hint="eastAsia" w:ascii="宋体" w:hAnsi="宋体" w:cs="宋体"/>
          <w:color w:val="auto"/>
          <w:szCs w:val="32"/>
          <w:highlight w:val="none"/>
          <w:lang w:val="en-US" w:eastAsia="zh-CN"/>
        </w:rPr>
        <w:t>采购代理机构：</w:t>
      </w:r>
      <w:r>
        <w:rPr>
          <w:rFonts w:hint="eastAsia" w:ascii="宋体" w:hAnsi="宋体" w:cs="宋体"/>
          <w:color w:val="auto"/>
          <w:szCs w:val="32"/>
          <w:highlight w:val="none"/>
        </w:rPr>
        <w:t>广西科联招标中心有限公司</w:t>
      </w:r>
    </w:p>
    <w:p>
      <w:pPr>
        <w:wordWrap w:val="0"/>
        <w:spacing w:line="440" w:lineRule="exact"/>
        <w:ind w:firstLine="420" w:firstLineChars="200"/>
        <w:jc w:val="right"/>
        <w:rPr>
          <w:rFonts w:ascii="宋体" w:hAnsi="宋体" w:cs="宋体"/>
          <w:color w:val="auto"/>
          <w:szCs w:val="21"/>
          <w:highlight w:val="none"/>
        </w:rPr>
      </w:pPr>
      <w:r>
        <w:rPr>
          <w:rFonts w:hint="eastAsia" w:ascii="宋体" w:hAnsi="宋体" w:cs="宋体"/>
          <w:color w:val="auto"/>
          <w:szCs w:val="21"/>
          <w:highlight w:val="none"/>
          <w:lang w:eastAsia="zh-CN"/>
        </w:rPr>
        <w:t>2023年</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16</w:t>
      </w:r>
      <w:r>
        <w:rPr>
          <w:rFonts w:hint="eastAsia" w:ascii="宋体" w:hAnsi="宋体" w:cs="宋体"/>
          <w:color w:val="auto"/>
          <w:szCs w:val="21"/>
          <w:highlight w:val="none"/>
        </w:rPr>
        <w:t>日</w:t>
      </w:r>
    </w:p>
    <w:p>
      <w:pPr>
        <w:pStyle w:val="12"/>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24"/>
        <w:rPr>
          <w:rFonts w:ascii="宋体" w:hAnsi="宋体" w:cs="宋体"/>
          <w:color w:val="auto"/>
          <w:szCs w:val="21"/>
          <w:highlight w:val="none"/>
        </w:rPr>
      </w:pPr>
    </w:p>
    <w:p>
      <w:pPr>
        <w:pStyle w:val="13"/>
        <w:ind w:firstLine="0"/>
        <w:rPr>
          <w:rFonts w:hAnsi="宋体" w:cs="宋体"/>
          <w:color w:val="auto"/>
          <w:szCs w:val="21"/>
          <w:highlight w:val="none"/>
        </w:rPr>
      </w:pPr>
    </w:p>
    <w:bookmarkEnd w:id="10"/>
    <w:p>
      <w:pPr>
        <w:pStyle w:val="3"/>
        <w:ind w:firstLine="803" w:firstLineChars="200"/>
        <w:jc w:val="center"/>
        <w:rPr>
          <w:color w:val="auto"/>
          <w:sz w:val="40"/>
          <w:szCs w:val="22"/>
          <w:highlight w:val="none"/>
        </w:rPr>
      </w:pPr>
      <w:bookmarkStart w:id="24" w:name="_Toc35611511"/>
      <w:bookmarkStart w:id="25" w:name="_Toc9115"/>
      <w:r>
        <w:rPr>
          <w:rFonts w:hint="eastAsia"/>
          <w:color w:val="auto"/>
          <w:sz w:val="40"/>
          <w:szCs w:val="22"/>
          <w:highlight w:val="none"/>
        </w:rPr>
        <w:t>第二章 供应商须知</w:t>
      </w:r>
      <w:bookmarkEnd w:id="24"/>
      <w:bookmarkEnd w:id="25"/>
    </w:p>
    <w:p>
      <w:pPr>
        <w:spacing w:line="400" w:lineRule="exact"/>
        <w:ind w:firstLine="643" w:firstLineChars="200"/>
        <w:jc w:val="center"/>
        <w:rPr>
          <w:rFonts w:ascii="宋体" w:hAnsi="宋体"/>
          <w:b/>
          <w:color w:val="auto"/>
          <w:sz w:val="32"/>
          <w:szCs w:val="32"/>
          <w:highlight w:val="none"/>
        </w:rPr>
      </w:pPr>
      <w:bookmarkStart w:id="26" w:name="_Toc514340097"/>
      <w:r>
        <w:rPr>
          <w:rFonts w:hint="eastAsia" w:ascii="宋体" w:hAnsi="宋体"/>
          <w:b/>
          <w:color w:val="auto"/>
          <w:sz w:val="32"/>
          <w:szCs w:val="32"/>
          <w:highlight w:val="none"/>
        </w:rPr>
        <w:t>供应商须知前附表</w:t>
      </w:r>
    </w:p>
    <w:p>
      <w:pPr>
        <w:spacing w:line="400" w:lineRule="exact"/>
        <w:jc w:val="center"/>
        <w:rPr>
          <w:rFonts w:ascii="宋体" w:hAnsi="宋体"/>
          <w:b/>
          <w:color w:val="auto"/>
          <w:sz w:val="32"/>
          <w:szCs w:val="32"/>
          <w:highlight w:val="none"/>
        </w:rPr>
      </w:pPr>
    </w:p>
    <w:tbl>
      <w:tblPr>
        <w:tblStyle w:val="2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2"/>
        <w:gridCol w:w="7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条款号</w:t>
            </w:r>
          </w:p>
        </w:tc>
        <w:tc>
          <w:tcPr>
            <w:tcW w:w="7912" w:type="dxa"/>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912" w:type="dxa"/>
            <w:vAlign w:val="center"/>
          </w:tcPr>
          <w:p>
            <w:pPr>
              <w:spacing w:line="360" w:lineRule="auto"/>
              <w:rPr>
                <w:rFonts w:ascii="宋体" w:hAnsi="宋体" w:cs="宋体"/>
                <w:color w:val="auto"/>
                <w:szCs w:val="21"/>
                <w:highlight w:val="none"/>
              </w:rPr>
            </w:pPr>
            <w:r>
              <w:rPr>
                <w:rFonts w:hint="eastAsia" w:ascii="宋体" w:hAnsi="宋体" w:cs="宋体"/>
                <w:bCs/>
                <w:color w:val="auto"/>
                <w:szCs w:val="21"/>
                <w:highlight w:val="none"/>
              </w:rPr>
              <w:t>供应商的资格条件</w:t>
            </w:r>
            <w:r>
              <w:rPr>
                <w:rFonts w:hint="eastAsia" w:ascii="宋体" w:hAnsi="宋体" w:cs="宋体"/>
                <w:color w:val="auto"/>
                <w:szCs w:val="21"/>
                <w:highlight w:val="none"/>
              </w:rPr>
              <w:t>：详见竞争性磋商公告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5.1</w:t>
            </w:r>
          </w:p>
        </w:tc>
        <w:tc>
          <w:tcPr>
            <w:tcW w:w="791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是否接受联合体竞标: 详见竞争性磋商公告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r>
              <w:rPr>
                <w:rFonts w:ascii="宋体" w:hAnsi="宋体" w:cs="宋体"/>
                <w:color w:val="auto"/>
                <w:szCs w:val="21"/>
                <w:highlight w:val="none"/>
              </w:rPr>
              <w:t>.2</w:t>
            </w:r>
          </w:p>
        </w:tc>
        <w:tc>
          <w:tcPr>
            <w:tcW w:w="7912" w:type="dxa"/>
            <w:vAlign w:val="center"/>
          </w:tcPr>
          <w:p>
            <w:pPr>
              <w:spacing w:line="360" w:lineRule="auto"/>
              <w:rPr>
                <w:rFonts w:ascii="宋体" w:hAnsi="宋体" w:cs="宋体"/>
                <w:color w:val="auto"/>
                <w:szCs w:val="21"/>
                <w:highlight w:val="none"/>
              </w:rPr>
            </w:pPr>
            <w:r>
              <w:rPr>
                <w:rFonts w:hint="eastAsia" w:ascii="宋体" w:hAnsi="宋体"/>
                <w:color w:val="auto"/>
                <w:szCs w:val="21"/>
                <w:highlight w:val="none"/>
              </w:rPr>
              <w:t>如接受联合体竞标，联合体竞标要求如下：无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6.2</w:t>
            </w:r>
          </w:p>
        </w:tc>
        <w:tc>
          <w:tcPr>
            <w:tcW w:w="7912" w:type="dxa"/>
            <w:vAlign w:val="center"/>
          </w:tcPr>
          <w:p>
            <w:pPr>
              <w:pStyle w:val="1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☑不允许分包</w:t>
            </w:r>
          </w:p>
          <w:p>
            <w:pPr>
              <w:pStyle w:val="10"/>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□允许分包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12.1.</w:t>
            </w:r>
            <w:r>
              <w:rPr>
                <w:rFonts w:ascii="宋体" w:hAnsi="宋体" w:cs="宋体"/>
                <w:color w:val="auto"/>
                <w:szCs w:val="21"/>
                <w:highlight w:val="none"/>
              </w:rPr>
              <w:t>1</w:t>
            </w:r>
          </w:p>
        </w:tc>
        <w:tc>
          <w:tcPr>
            <w:tcW w:w="7912" w:type="dxa"/>
            <w:vAlign w:val="center"/>
          </w:tcPr>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资格证明文件</w:t>
            </w:r>
          </w:p>
          <w:p>
            <w:pPr>
              <w:pStyle w:val="10"/>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1.供应商为法人或者其他组织的提供其营业执照等证明文件（如营业执照或者事业单位法人证书或者执业许可证等）；（</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2.供应商依法缴纳税收的相关材料（</w:t>
            </w:r>
            <w:r>
              <w:rPr>
                <w:rFonts w:hint="eastAsia" w:ascii="宋体" w:hAnsi="宋体" w:cs="宋体"/>
                <w:color w:val="auto"/>
                <w:szCs w:val="21"/>
                <w:highlight w:val="none"/>
                <w:lang w:eastAsia="zh-CN"/>
              </w:rPr>
              <w:t>2022年1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月至2023年4月</w:t>
            </w:r>
            <w:r>
              <w:rPr>
                <w:rFonts w:hint="eastAsia" w:ascii="宋体" w:hAnsi="宋体" w:cs="宋体"/>
                <w:color w:val="auto"/>
                <w:szCs w:val="21"/>
                <w:highlight w:val="none"/>
              </w:rPr>
              <w:t>内任意</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个月的依法缴纳税收的凭据复印件；</w:t>
            </w:r>
            <w:r>
              <w:rPr>
                <w:rFonts w:hint="eastAsia" w:ascii="宋体" w:hAnsi="宋体"/>
                <w:color w:val="auto"/>
                <w:szCs w:val="21"/>
                <w:highlight w:val="none"/>
              </w:rPr>
              <w:t>依法免税的供应商，必须提供相应文件证明其依法免税。</w:t>
            </w:r>
            <w:r>
              <w:rPr>
                <w:rFonts w:hint="eastAsia" w:ascii="宋体" w:hAnsi="宋体" w:cs="宋体"/>
                <w:color w:val="auto"/>
                <w:szCs w:val="21"/>
                <w:highlight w:val="none"/>
              </w:rPr>
              <w:t>从取得营业执照时间起到首次响应文件提交截止时间为止不足要求月数的，只需提供从取得营业执照起的依法缴纳税收</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3.供应商依法缴纳社会保障资金的相关材料[</w:t>
            </w:r>
            <w:r>
              <w:rPr>
                <w:rFonts w:hint="eastAsia" w:ascii="宋体" w:hAnsi="宋体" w:cs="宋体"/>
                <w:color w:val="auto"/>
                <w:szCs w:val="21"/>
                <w:highlight w:val="none"/>
                <w:lang w:eastAsia="zh-CN"/>
              </w:rPr>
              <w:t>2022年1</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月至2023年4月</w:t>
            </w:r>
            <w:r>
              <w:rPr>
                <w:rFonts w:hint="eastAsia" w:ascii="宋体" w:hAnsi="宋体" w:cs="宋体"/>
                <w:color w:val="auto"/>
                <w:szCs w:val="21"/>
                <w:highlight w:val="none"/>
              </w:rPr>
              <w:t>内任意</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个月的依法缴纳社会保障资金的缴费凭证复印件；</w:t>
            </w:r>
            <w:r>
              <w:rPr>
                <w:rFonts w:hint="eastAsia" w:ascii="宋体" w:hAnsi="宋体"/>
                <w:color w:val="auto"/>
                <w:szCs w:val="21"/>
                <w:highlight w:val="none"/>
              </w:rPr>
              <w:t>依法不需要缴纳社会保障资金的供应商，必须提供相应文件证明不需要缴纳社会保障资金。</w:t>
            </w:r>
            <w:r>
              <w:rPr>
                <w:rFonts w:hint="eastAsia" w:ascii="宋体" w:hAnsi="宋体" w:cs="宋体"/>
                <w:color w:val="auto"/>
                <w:szCs w:val="21"/>
                <w:highlight w:val="none"/>
              </w:rPr>
              <w:t>从取得营业执照时间起到首次响应文件提交截止时间为止不足要求月数的只需提供从取得营业执照起的依法缴纳社会保障资金的</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b/>
                <w:color w:val="auto"/>
                <w:szCs w:val="21"/>
                <w:highlight w:val="none"/>
              </w:rPr>
            </w:pPr>
            <w:r>
              <w:rPr>
                <w:rFonts w:hint="eastAsia" w:ascii="宋体" w:hAnsi="宋体" w:cs="宋体"/>
                <w:color w:val="auto"/>
                <w:szCs w:val="21"/>
                <w:highlight w:val="none"/>
              </w:rPr>
              <w:t>4.供应商财务状况报告（提供</w:t>
            </w:r>
            <w:r>
              <w:rPr>
                <w:rFonts w:hint="eastAsia" w:ascii="宋体" w:hAnsi="宋体" w:cs="宋体"/>
                <w:color w:val="auto"/>
                <w:szCs w:val="21"/>
                <w:highlight w:val="none"/>
                <w:u w:val="single"/>
              </w:rPr>
              <w:t>上一</w:t>
            </w:r>
            <w:r>
              <w:rPr>
                <w:rFonts w:hint="eastAsia" w:ascii="宋体" w:hAnsi="宋体" w:cs="宋体"/>
                <w:color w:val="auto"/>
                <w:szCs w:val="21"/>
                <w:highlight w:val="none"/>
              </w:rPr>
              <w:t>年度经审计的财务报告复印件或者其基本开户银行出具的资信证明或者截标时间前半年内至少一个月能反映财务状况的报表或者供应商自拟的截标时间前半年内至少一个月的财务情况说明）；</w:t>
            </w:r>
            <w:r>
              <w:rPr>
                <w:rFonts w:hint="eastAsia" w:ascii="宋体" w:hAnsi="宋体" w:cs="宋体"/>
                <w:bCs/>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bCs/>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5.本项目的特定资格要求：</w:t>
            </w:r>
            <w:r>
              <w:rPr>
                <w:rFonts w:hint="eastAsia" w:ascii="宋体" w:hAnsi="宋体" w:cs="宋体"/>
                <w:color w:val="auto"/>
                <w:highlight w:val="none"/>
                <w:lang w:val="en-US" w:eastAsia="zh-CN"/>
              </w:rPr>
              <w:t>无</w:t>
            </w:r>
            <w:r>
              <w:rPr>
                <w:rFonts w:hint="eastAsia"/>
                <w:color w:val="auto"/>
                <w:highlight w:val="none"/>
                <w:lang w:eastAsia="zh-CN"/>
              </w:rPr>
              <w:t>；</w:t>
            </w:r>
            <w:r>
              <w:rPr>
                <w:rFonts w:hint="eastAsia" w:ascii="宋体" w:hAnsi="宋体" w:cs="宋体"/>
                <w:color w:val="auto"/>
                <w:szCs w:val="21"/>
                <w:highlight w:val="none"/>
              </w:rPr>
              <w:t>（</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6.竞标声明（格式后附）；（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.除磋商文件规定必须提供以外，供应商认为需要提供的其他证明材料；</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注：</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1.以上标明“必须提供”的材料属于复印件的，必须加盖供应商公章，否则响应文件按无效响应处理。</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2.竞标声明必须由法定代表人在规定签章处签字并加盖供应商公章，否则响应文件按无效响应处理。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r>
              <w:rPr>
                <w:rFonts w:ascii="宋体" w:hAnsi="宋体" w:cs="宋体"/>
                <w:color w:val="auto"/>
                <w:szCs w:val="21"/>
                <w:highlight w:val="none"/>
              </w:rPr>
              <w:t>1</w:t>
            </w:r>
            <w:r>
              <w:rPr>
                <w:rFonts w:hint="eastAsia" w:ascii="宋体" w:hAnsi="宋体" w:cs="宋体"/>
                <w:color w:val="auto"/>
                <w:szCs w:val="21"/>
                <w:highlight w:val="none"/>
              </w:rPr>
              <w:t>.</w:t>
            </w:r>
            <w:r>
              <w:rPr>
                <w:rFonts w:ascii="宋体" w:hAnsi="宋体" w:cs="宋体"/>
                <w:color w:val="auto"/>
                <w:szCs w:val="21"/>
                <w:highlight w:val="none"/>
              </w:rPr>
              <w:t>2</w:t>
            </w:r>
          </w:p>
        </w:tc>
        <w:tc>
          <w:tcPr>
            <w:tcW w:w="7912" w:type="dxa"/>
            <w:vAlign w:val="center"/>
          </w:tcPr>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报价商务技术文件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1.无串通竞标行为的承诺函（格式后附）；（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2.竞标报价表（格式后附）；（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3.法定代表人身份证明及法定代表人有效身份证正反面复印件（格式后附）；（</w:t>
            </w:r>
            <w:r>
              <w:rPr>
                <w:rFonts w:hint="eastAsia" w:ascii="宋体" w:hAnsi="宋体" w:cs="宋体"/>
                <w:b/>
                <w:bCs/>
                <w:color w:val="auto"/>
                <w:szCs w:val="21"/>
                <w:highlight w:val="none"/>
              </w:rPr>
              <w:t>除自然人竞标外</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4.法定代表人授权委托书及其委托代理人有效身份证正反面复印件（格式后附）；（</w:t>
            </w:r>
            <w:r>
              <w:rPr>
                <w:rFonts w:hint="eastAsia" w:ascii="宋体" w:hAnsi="宋体" w:cs="宋体"/>
                <w:b/>
                <w:color w:val="auto"/>
                <w:szCs w:val="21"/>
                <w:highlight w:val="none"/>
              </w:rPr>
              <w:t>委托时必须提供，否则响应文件按无效响应处理</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5.中小企业声明函或者残疾人福利性单位声明函或者供应商属于监狱企业的证明材料（格式后附）；（如有请提供）</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6.商务及技术条款偏离表（格式后附）；（</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7.服务方案；（</w:t>
            </w:r>
            <w:r>
              <w:rPr>
                <w:rFonts w:hint="eastAsia" w:ascii="宋体" w:hAnsi="宋体" w:cs="宋体"/>
                <w:b/>
                <w:color w:val="auto"/>
                <w:szCs w:val="21"/>
                <w:highlight w:val="none"/>
              </w:rPr>
              <w:t>必须提供，否则响应文件按无效响应处理</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 xml:space="preserve">项目实施人员一览表（格式自拟）； </w:t>
            </w:r>
          </w:p>
          <w:p>
            <w:pPr>
              <w:numPr>
                <w:ilvl w:val="0"/>
                <w:numId w:val="0"/>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.对应采购需求的技术需求、商务条款提供的其他文件资料；</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.供应商认为需要提供的其他有关资料。</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 xml:space="preserve">注： </w:t>
            </w:r>
          </w:p>
          <w:p>
            <w:pPr>
              <w:snapToGrid w:val="0"/>
              <w:spacing w:line="360" w:lineRule="auto"/>
              <w:ind w:firstLine="422" w:firstLineChars="200"/>
              <w:jc w:val="left"/>
              <w:rPr>
                <w:rFonts w:ascii="宋体" w:hAnsi="宋体" w:cs="宋体"/>
                <w:b/>
                <w:color w:val="auto"/>
                <w:szCs w:val="21"/>
                <w:highlight w:val="none"/>
              </w:rPr>
            </w:pPr>
            <w:r>
              <w:rPr>
                <w:rFonts w:hint="eastAsia" w:ascii="宋体" w:hAnsi="宋体" w:cs="宋体"/>
                <w:b/>
                <w:color w:val="auto"/>
                <w:szCs w:val="21"/>
                <w:highlight w:val="none"/>
              </w:rPr>
              <w:t>1.法定代表人授权委托书必须由法定代表人及其委托代理人签字，并加盖供应商公章，否则响应文件按无效响应处理。</w:t>
            </w:r>
          </w:p>
          <w:p>
            <w:pPr>
              <w:spacing w:line="360" w:lineRule="auto"/>
              <w:ind w:firstLine="422" w:firstLineChars="200"/>
              <w:rPr>
                <w:rFonts w:ascii="宋体" w:hAnsi="宋体" w:cs="宋体"/>
                <w:b/>
                <w:color w:val="auto"/>
                <w:szCs w:val="21"/>
                <w:highlight w:val="none"/>
              </w:rPr>
            </w:pPr>
            <w:r>
              <w:rPr>
                <w:rFonts w:ascii="宋体" w:hAnsi="宋体" w:cs="宋体"/>
                <w:b/>
                <w:color w:val="auto"/>
                <w:szCs w:val="21"/>
                <w:highlight w:val="none"/>
              </w:rPr>
              <w:t>2</w:t>
            </w:r>
            <w:r>
              <w:rPr>
                <w:rFonts w:hint="eastAsia" w:ascii="宋体" w:hAnsi="宋体" w:cs="宋体"/>
                <w:b/>
                <w:color w:val="auto"/>
                <w:szCs w:val="21"/>
                <w:highlight w:val="none"/>
              </w:rPr>
              <w:t>.以上标明“必须提供”的材料属于复印件的，必须加盖供应商公章，否则响应文件按无效响应处理。</w:t>
            </w:r>
          </w:p>
          <w:p>
            <w:pPr>
              <w:spacing w:line="360" w:lineRule="auto"/>
              <w:ind w:firstLine="422" w:firstLineChars="200"/>
              <w:rPr>
                <w:rFonts w:ascii="宋体" w:hAnsi="宋体" w:cs="宋体"/>
                <w:color w:val="auto"/>
                <w:szCs w:val="21"/>
                <w:highlight w:val="none"/>
              </w:rPr>
            </w:pPr>
            <w:r>
              <w:rPr>
                <w:rFonts w:hint="eastAsia" w:ascii="宋体" w:hAnsi="宋体" w:cs="宋体"/>
                <w:b/>
                <w:color w:val="auto"/>
                <w:szCs w:val="21"/>
                <w:highlight w:val="none"/>
              </w:rPr>
              <w:t>3.以上材料未附格式的，由供应商自行拟定。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r>
              <w:rPr>
                <w:rFonts w:ascii="宋体" w:hAnsi="宋体" w:cs="宋体"/>
                <w:color w:val="auto"/>
                <w:szCs w:val="21"/>
                <w:highlight w:val="none"/>
              </w:rPr>
              <w:t>2</w:t>
            </w:r>
          </w:p>
        </w:tc>
        <w:tc>
          <w:tcPr>
            <w:tcW w:w="7912" w:type="dxa"/>
            <w:vAlign w:val="center"/>
          </w:tcPr>
          <w:p>
            <w:pPr>
              <w:pStyle w:val="10"/>
              <w:ind w:firstLine="420" w:firstLineChars="200"/>
              <w:rPr>
                <w:rFonts w:ascii="宋体" w:hAnsi="宋体" w:cs="宋体"/>
                <w:color w:val="auto"/>
                <w:szCs w:val="21"/>
                <w:highlight w:val="none"/>
              </w:rPr>
            </w:pPr>
            <w:r>
              <w:rPr>
                <w:rFonts w:hint="eastAsia" w:ascii="宋体" w:hAnsi="宋体" w:cs="宋体"/>
                <w:color w:val="auto"/>
                <w:szCs w:val="21"/>
                <w:highlight w:val="none"/>
              </w:rPr>
              <w:t>响应文件电子版。供应商在递交响应文件时，同时递交响应文件电子版。</w:t>
            </w:r>
          </w:p>
          <w:p>
            <w:pPr>
              <w:pStyle w:val="10"/>
              <w:ind w:firstLine="420" w:firstLineChars="200"/>
              <w:rPr>
                <w:rFonts w:ascii="宋体" w:hAnsi="宋体" w:cs="宋体"/>
                <w:color w:val="auto"/>
                <w:szCs w:val="21"/>
                <w:highlight w:val="none"/>
              </w:rPr>
            </w:pPr>
            <w:r>
              <w:rPr>
                <w:rFonts w:hint="eastAsia" w:ascii="宋体" w:hAnsi="宋体" w:cs="宋体"/>
                <w:color w:val="auto"/>
                <w:szCs w:val="21"/>
                <w:highlight w:val="none"/>
              </w:rPr>
              <w:t>1.响应文件电子版内容：与纸质响应文件全部内容一致。</w:t>
            </w:r>
          </w:p>
          <w:p>
            <w:pPr>
              <w:pStyle w:val="10"/>
              <w:ind w:firstLine="420" w:firstLineChars="200"/>
              <w:rPr>
                <w:rFonts w:ascii="宋体" w:hAnsi="宋体" w:cs="宋体"/>
                <w:color w:val="auto"/>
                <w:szCs w:val="21"/>
                <w:highlight w:val="none"/>
              </w:rPr>
            </w:pPr>
            <w:r>
              <w:rPr>
                <w:rFonts w:hint="eastAsia" w:ascii="宋体" w:hAnsi="宋体" w:cs="宋体"/>
                <w:color w:val="auto"/>
                <w:szCs w:val="21"/>
                <w:highlight w:val="none"/>
              </w:rPr>
              <w:t>2.响应文件电子版形式：可编辑的文档格式1份和已签字盖章的响应文件正本的扫描件（PDF格式）1份。</w:t>
            </w:r>
          </w:p>
          <w:p>
            <w:pPr>
              <w:pStyle w:val="10"/>
              <w:ind w:firstLine="420" w:firstLineChars="200"/>
              <w:rPr>
                <w:rFonts w:ascii="宋体" w:hAnsi="宋体" w:cs="宋体"/>
                <w:color w:val="auto"/>
                <w:szCs w:val="21"/>
                <w:highlight w:val="none"/>
              </w:rPr>
            </w:pPr>
            <w:r>
              <w:rPr>
                <w:rFonts w:hint="eastAsia" w:ascii="宋体" w:hAnsi="宋体" w:cs="宋体"/>
                <w:color w:val="auto"/>
                <w:szCs w:val="21"/>
                <w:highlight w:val="none"/>
              </w:rPr>
              <w:t>3.响应文件电子版密封方式：响应文件电子版光盘（或者U盘）单独密封</w:t>
            </w:r>
            <w:r>
              <w:rPr>
                <w:rFonts w:hint="eastAsia"/>
                <w:color w:val="auto"/>
                <w:highlight w:val="none"/>
              </w:rPr>
              <w:t>（外层包装封面上标明项目名称、项目编号及供应商名称）</w:t>
            </w:r>
            <w:r>
              <w:rPr>
                <w:rFonts w:hint="eastAsia" w:ascii="宋体" w:hAnsi="宋体" w:cs="宋体"/>
                <w:color w:val="auto"/>
                <w:szCs w:val="21"/>
                <w:highlight w:val="none"/>
              </w:rPr>
              <w:t>与纸质版响应文件一并装入响应文件袋中。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7" w:hRule="atLeast"/>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15.2</w:t>
            </w:r>
          </w:p>
        </w:tc>
        <w:tc>
          <w:tcPr>
            <w:tcW w:w="7912" w:type="dxa"/>
            <w:vAlign w:val="center"/>
          </w:tcPr>
          <w:p>
            <w:pPr>
              <w:pStyle w:val="38"/>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报价应包含“项目采购需求”规定的各项服务内容的价格，包括项目实施的全部学员的住宿费、伙食费、培训专家费、培训场地费、培训设备费、培训资料费、交通费、劳务费、现场教学、必要的保险费用和各项税金等完成本项目服务内容所需要的其他一切费用。对于本文件中未列明，而供应商认为必需的费用也需列入总报价。在合同实施时，采购人将不予支付成交供应商没有列入的项目费用，并认为此项目的费用已包括在总报价中。</w:t>
            </w:r>
          </w:p>
          <w:p>
            <w:pPr>
              <w:snapToGrid w:val="0"/>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sym w:font="Wingdings 2" w:char="0052"/>
            </w:r>
            <w:r>
              <w:rPr>
                <w:rFonts w:hint="eastAsia" w:ascii="宋体" w:hAnsi="宋体" w:eastAsia="宋体" w:cs="宋体"/>
                <w:b/>
                <w:color w:val="auto"/>
                <w:szCs w:val="21"/>
                <w:highlight w:val="none"/>
                <w:lang w:eastAsia="zh-CN"/>
              </w:rPr>
              <w:t>响应</w:t>
            </w:r>
            <w:r>
              <w:rPr>
                <w:rFonts w:hint="eastAsia" w:ascii="宋体" w:hAnsi="宋体" w:eastAsia="宋体" w:cs="宋体"/>
                <w:b/>
                <w:color w:val="auto"/>
                <w:szCs w:val="21"/>
                <w:highlight w:val="none"/>
              </w:rPr>
              <w:t>报价包含验收费用</w:t>
            </w:r>
          </w:p>
          <w:p>
            <w:pPr>
              <w:snapToGrid w:val="0"/>
              <w:spacing w:line="360" w:lineRule="auto"/>
              <w:ind w:firstLine="422" w:firstLineChars="200"/>
              <w:jc w:val="left"/>
              <w:rPr>
                <w:rFonts w:ascii="宋体" w:hAnsi="宋体" w:cs="宋体"/>
                <w:color w:val="auto"/>
                <w:szCs w:val="21"/>
                <w:highlight w:val="none"/>
              </w:rPr>
            </w:pP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eastAsia="zh-CN"/>
              </w:rPr>
              <w:t>响应</w:t>
            </w:r>
            <w:r>
              <w:rPr>
                <w:rFonts w:hint="eastAsia" w:ascii="宋体" w:hAnsi="宋体" w:eastAsia="宋体" w:cs="宋体"/>
                <w:b/>
                <w:color w:val="auto"/>
                <w:szCs w:val="21"/>
                <w:highlight w:val="none"/>
              </w:rPr>
              <w:t>报价不包含验收费用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16.</w:t>
            </w:r>
            <w:r>
              <w:rPr>
                <w:rFonts w:ascii="宋体" w:hAnsi="宋体" w:cs="宋体"/>
                <w:color w:val="auto"/>
                <w:szCs w:val="21"/>
                <w:highlight w:val="none"/>
              </w:rPr>
              <w:t>2</w:t>
            </w:r>
          </w:p>
        </w:tc>
        <w:tc>
          <w:tcPr>
            <w:tcW w:w="7912" w:type="dxa"/>
            <w:vAlign w:val="center"/>
          </w:tcPr>
          <w:p>
            <w:pPr>
              <w:pStyle w:val="8"/>
              <w:tabs>
                <w:tab w:val="left" w:pos="720"/>
                <w:tab w:val="left" w:pos="840"/>
              </w:tabs>
              <w:snapToGrid w:val="0"/>
              <w:spacing w:line="360" w:lineRule="auto"/>
              <w:ind w:left="283" w:hanging="283" w:hangingChars="135"/>
              <w:rPr>
                <w:rFonts w:ascii="宋体" w:hAnsi="宋体" w:cs="宋体"/>
                <w:color w:val="auto"/>
                <w:szCs w:val="21"/>
                <w:highlight w:val="none"/>
              </w:rPr>
            </w:pPr>
            <w:r>
              <w:rPr>
                <w:rFonts w:hint="eastAsia" w:ascii="宋体" w:hAnsi="宋体" w:cs="宋体"/>
                <w:color w:val="auto"/>
                <w:szCs w:val="21"/>
                <w:highlight w:val="none"/>
              </w:rPr>
              <w:t>竞标有效期：自首次响应文件提交截止之日起</w:t>
            </w:r>
            <w:r>
              <w:rPr>
                <w:rFonts w:hint="eastAsia" w:ascii="宋体" w:hAnsi="宋体" w:cs="宋体"/>
                <w:color w:val="auto"/>
                <w:szCs w:val="21"/>
                <w:highlight w:val="none"/>
                <w:u w:val="single"/>
              </w:rPr>
              <w:t>60</w:t>
            </w:r>
            <w:r>
              <w:rPr>
                <w:rFonts w:hint="eastAsia" w:ascii="宋体" w:hAnsi="宋体" w:cs="宋体"/>
                <w:color w:val="auto"/>
                <w:szCs w:val="21"/>
                <w:highlight w:val="non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17.1</w:t>
            </w:r>
          </w:p>
        </w:tc>
        <w:tc>
          <w:tcPr>
            <w:tcW w:w="7912" w:type="dxa"/>
            <w:vAlign w:val="center"/>
          </w:tcPr>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本项目不收取磋商保证金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18.2</w:t>
            </w:r>
          </w:p>
        </w:tc>
        <w:tc>
          <w:tcPr>
            <w:tcW w:w="791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响应文件份数：正本一份、副本</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20.1</w:t>
            </w:r>
          </w:p>
        </w:tc>
        <w:tc>
          <w:tcPr>
            <w:tcW w:w="7912" w:type="dxa"/>
            <w:vAlign w:val="center"/>
          </w:tcPr>
          <w:p>
            <w:pPr>
              <w:snapToGrid w:val="0"/>
              <w:spacing w:line="360" w:lineRule="auto"/>
              <w:ind w:firstLine="420" w:firstLineChars="200"/>
              <w:jc w:val="left"/>
              <w:rPr>
                <w:rFonts w:ascii="宋体" w:hAnsi="宋体" w:cs="宋体"/>
                <w:color w:val="auto"/>
                <w:szCs w:val="21"/>
                <w:highlight w:val="none"/>
                <w:u w:val="single"/>
              </w:rPr>
            </w:pPr>
            <w:r>
              <w:rPr>
                <w:rFonts w:hint="eastAsia" w:ascii="宋体" w:hAnsi="宋体" w:cs="宋体"/>
                <w:color w:val="auto"/>
                <w:szCs w:val="21"/>
                <w:highlight w:val="none"/>
              </w:rPr>
              <w:t>首次响应文件提交截止时间：详见竞争性磋商公告</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首次响应文件提交地点：详见竞争性磋商公告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供应商必须在首次响应文件提交截止时间前，将响应文件密封送达首次响应文件提交地点。在首次响应文件提交截止时间后送达的响应文件为无效文件，采购代理机构应当拒收。</w:t>
            </w:r>
          </w:p>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其他文书、文件递交：详见供应商须知正文“三、响应文件的编制20.4款”。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24.1</w:t>
            </w:r>
          </w:p>
        </w:tc>
        <w:tc>
          <w:tcPr>
            <w:tcW w:w="7912" w:type="dxa"/>
            <w:vAlign w:val="center"/>
          </w:tcPr>
          <w:p>
            <w:pPr>
              <w:snapToGrid w:val="0"/>
              <w:spacing w:line="360" w:lineRule="auto"/>
              <w:jc w:val="left"/>
              <w:rPr>
                <w:rFonts w:ascii="宋体" w:hAnsi="宋体" w:cs="宋体"/>
                <w:color w:val="auto"/>
                <w:szCs w:val="21"/>
                <w:highlight w:val="none"/>
                <w:u w:val="single"/>
              </w:rPr>
            </w:pPr>
            <w:r>
              <w:rPr>
                <w:rFonts w:hint="eastAsia" w:ascii="宋体" w:hAnsi="宋体" w:cs="宋体"/>
                <w:color w:val="auto"/>
                <w:szCs w:val="21"/>
                <w:highlight w:val="none"/>
              </w:rPr>
              <w:t>磋商小组的人数：</w:t>
            </w:r>
            <w:r>
              <w:rPr>
                <w:rFonts w:hint="eastAsia" w:ascii="宋体" w:hAnsi="宋体" w:cs="宋体"/>
                <w:color w:val="auto"/>
                <w:szCs w:val="21"/>
                <w:highlight w:val="none"/>
                <w:u w:val="single"/>
              </w:rPr>
              <w:t xml:space="preserve">  3  </w:t>
            </w:r>
            <w:r>
              <w:rPr>
                <w:rFonts w:hint="eastAsia" w:ascii="宋体" w:hAnsi="宋体" w:cs="宋体"/>
                <w:color w:val="auto"/>
                <w:szCs w:val="21"/>
                <w:highlight w:val="none"/>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4" w:hRule="atLeast"/>
          <w:jc w:val="center"/>
        </w:trPr>
        <w:tc>
          <w:tcPr>
            <w:tcW w:w="992" w:type="dxa"/>
            <w:vMerge w:val="restart"/>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6.2</w:t>
            </w:r>
          </w:p>
        </w:tc>
        <w:tc>
          <w:tcPr>
            <w:tcW w:w="7912" w:type="dxa"/>
            <w:vAlign w:val="center"/>
          </w:tcPr>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商务条款评审中允许负偏离的条款数为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技术需求评审中允许负偏离的条款数为</w:t>
            </w:r>
            <w:r>
              <w:rPr>
                <w:rFonts w:hint="eastAsia" w:ascii="宋体" w:hAnsi="宋体" w:cs="宋体"/>
                <w:color w:val="auto"/>
                <w:szCs w:val="21"/>
                <w:highlight w:val="none"/>
                <w:u w:val="single"/>
              </w:rPr>
              <w:t xml:space="preserve"> 0 </w:t>
            </w:r>
            <w:r>
              <w:rPr>
                <w:rFonts w:hint="eastAsia" w:ascii="宋体" w:hAnsi="宋体" w:cs="宋体"/>
                <w:color w:val="auto"/>
                <w:szCs w:val="21"/>
                <w:highlight w:val="none"/>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Merge w:val="continue"/>
            <w:vAlign w:val="center"/>
          </w:tcPr>
          <w:p>
            <w:pPr>
              <w:spacing w:line="360" w:lineRule="auto"/>
              <w:jc w:val="center"/>
              <w:rPr>
                <w:rFonts w:ascii="宋体" w:hAnsi="宋体" w:cs="宋体"/>
                <w:color w:val="auto"/>
                <w:szCs w:val="21"/>
                <w:highlight w:val="none"/>
              </w:rPr>
            </w:pPr>
          </w:p>
        </w:tc>
        <w:tc>
          <w:tcPr>
            <w:tcW w:w="7912" w:type="dxa"/>
            <w:vAlign w:val="center"/>
          </w:tcPr>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磋商的顺序：</w:t>
            </w:r>
          </w:p>
          <w:p>
            <w:pPr>
              <w:pStyle w:val="10"/>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w:t>
            </w:r>
            <w:r>
              <w:rPr>
                <w:rFonts w:hint="eastAsia" w:ascii="宋体" w:hAnsi="宋体"/>
                <w:color w:val="auto"/>
                <w:szCs w:val="21"/>
                <w:highlight w:val="none"/>
              </w:rPr>
              <w:t>按照</w:t>
            </w:r>
            <w:r>
              <w:rPr>
                <w:rFonts w:hint="eastAsia" w:ascii="宋体" w:hAnsi="宋体" w:cs="宋体"/>
                <w:color w:val="auto"/>
                <w:szCs w:val="21"/>
                <w:highlight w:val="none"/>
              </w:rPr>
              <w:t>提交首次响应文件的顺序，通知磋商时，若某供应商不在通知现场时（该供应商排序到最后磋商），按照签到的顺序由其下一位供应商先参与磋商。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□随机排序。</w:t>
            </w:r>
          </w:p>
          <w:p>
            <w:pPr>
              <w:pStyle w:val="10"/>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参与磋商前，供应商法定代表人或者其委托代理人必须向磋商小组出示本人有效证件原件</w:t>
            </w:r>
            <w:r>
              <w:rPr>
                <w:rFonts w:ascii="宋体" w:hAnsi="宋体" w:cs="宋体"/>
                <w:b/>
                <w:color w:val="auto"/>
                <w:szCs w:val="21"/>
                <w:highlight w:val="none"/>
              </w:rPr>
              <w:t>[</w:t>
            </w:r>
            <w:r>
              <w:rPr>
                <w:rFonts w:hint="eastAsia" w:ascii="宋体" w:hAnsi="宋体" w:cs="宋体"/>
                <w:b/>
                <w:color w:val="auto"/>
                <w:szCs w:val="21"/>
                <w:highlight w:val="none"/>
              </w:rPr>
              <w:t>有效证件可以是身份证（含临时身份证明）、机动车驾驶证、社会保障卡或者护照的其中一项]，若参与磋商的委托代理人不是响应文件中授权的委托代理人时，必须同时出示有效的法定代表人授权委托书原件，否则磋商小组将拒绝其参与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ascii="宋体" w:hAnsi="宋体" w:cs="宋体"/>
                <w:color w:val="auto"/>
                <w:szCs w:val="21"/>
                <w:highlight w:val="none"/>
              </w:rPr>
              <w:t>28.1</w:t>
            </w:r>
          </w:p>
        </w:tc>
        <w:tc>
          <w:tcPr>
            <w:tcW w:w="7912" w:type="dxa"/>
            <w:vAlign w:val="center"/>
          </w:tcPr>
          <w:p>
            <w:pPr>
              <w:snapToGrid w:val="0"/>
              <w:spacing w:line="360" w:lineRule="auto"/>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履约保证金金额：</w:t>
            </w:r>
            <w:r>
              <w:rPr>
                <w:rFonts w:hint="eastAsia" w:ascii="宋体" w:hAnsi="宋体" w:cs="宋体"/>
                <w:color w:val="auto"/>
                <w:szCs w:val="21"/>
                <w:highlight w:val="none"/>
                <w:lang w:val="en-US" w:eastAsia="zh-CN"/>
              </w:rPr>
              <w:t>本项目不收取履约保证金。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ascii="宋体" w:hAnsi="宋体" w:cs="宋体"/>
                <w:color w:val="auto"/>
                <w:szCs w:val="21"/>
                <w:highlight w:val="none"/>
              </w:rPr>
              <w:t>29.1</w:t>
            </w:r>
          </w:p>
        </w:tc>
        <w:tc>
          <w:tcPr>
            <w:tcW w:w="7912" w:type="dxa"/>
            <w:vAlign w:val="center"/>
          </w:tcPr>
          <w:p>
            <w:pPr>
              <w:autoSpaceDE w:val="0"/>
              <w:autoSpaceDN w:val="0"/>
              <w:snapToGrid w:val="0"/>
              <w:spacing w:line="360" w:lineRule="auto"/>
              <w:ind w:firstLine="420" w:firstLineChars="200"/>
              <w:textAlignment w:val="bottom"/>
              <w:rPr>
                <w:rFonts w:ascii="宋体" w:hAnsi="宋体"/>
                <w:color w:val="auto"/>
                <w:szCs w:val="21"/>
                <w:highlight w:val="none"/>
              </w:rPr>
            </w:pPr>
            <w:r>
              <w:rPr>
                <w:rFonts w:hint="eastAsia" w:ascii="宋体" w:hAnsi="宋体"/>
                <w:color w:val="auto"/>
                <w:szCs w:val="21"/>
                <w:highlight w:val="none"/>
              </w:rPr>
              <w:t xml:space="preserve">签订合同携带的证明材料： </w:t>
            </w:r>
          </w:p>
          <w:p>
            <w:pPr>
              <w:autoSpaceDE w:val="0"/>
              <w:autoSpaceDN w:val="0"/>
              <w:snapToGrid w:val="0"/>
              <w:spacing w:line="360" w:lineRule="auto"/>
              <w:ind w:firstLine="420" w:firstLineChars="200"/>
              <w:textAlignment w:val="bottom"/>
              <w:rPr>
                <w:rFonts w:ascii="宋体" w:hAnsi="宋体"/>
                <w:color w:val="auto"/>
                <w:szCs w:val="21"/>
                <w:highlight w:val="none"/>
              </w:rPr>
            </w:pPr>
            <w:r>
              <w:rPr>
                <w:rFonts w:hint="eastAsia" w:ascii="宋体" w:hAnsi="宋体"/>
                <w:color w:val="auto"/>
                <w:szCs w:val="21"/>
                <w:highlight w:val="none"/>
              </w:rPr>
              <w:t>委托代理人负责签订合同的，须携带有效的法定代表人授权委托书及其委托代理人身份证原件等其他资格证件。</w:t>
            </w:r>
          </w:p>
          <w:p>
            <w:pPr>
              <w:snapToGrid w:val="0"/>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法定代表人负责签订合同的，须携带法定代表人</w:t>
            </w:r>
            <w:r>
              <w:rPr>
                <w:rFonts w:ascii="宋体" w:hAnsi="宋体"/>
                <w:color w:val="auto"/>
                <w:szCs w:val="21"/>
                <w:highlight w:val="none"/>
              </w:rPr>
              <w:t>身份证明原件</w:t>
            </w:r>
            <w:r>
              <w:rPr>
                <w:rFonts w:hint="eastAsia" w:ascii="宋体" w:hAnsi="宋体"/>
                <w:color w:val="auto"/>
                <w:szCs w:val="21"/>
                <w:highlight w:val="none"/>
              </w:rPr>
              <w:t>及</w:t>
            </w:r>
            <w:r>
              <w:rPr>
                <w:rFonts w:ascii="宋体" w:hAnsi="宋体"/>
                <w:color w:val="auto"/>
                <w:szCs w:val="21"/>
                <w:highlight w:val="none"/>
              </w:rPr>
              <w:t>身份证原件</w:t>
            </w:r>
            <w:r>
              <w:rPr>
                <w:rFonts w:hint="eastAsia" w:ascii="宋体" w:hAnsi="宋体"/>
                <w:color w:val="auto"/>
                <w:szCs w:val="21"/>
                <w:highlight w:val="none"/>
              </w:rPr>
              <w:t>等其他证明材料。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1.2</w:t>
            </w:r>
          </w:p>
        </w:tc>
        <w:tc>
          <w:tcPr>
            <w:tcW w:w="7912" w:type="dxa"/>
            <w:vAlign w:val="center"/>
          </w:tcPr>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接收质疑函方式：以书面形式。</w:t>
            </w:r>
          </w:p>
          <w:p>
            <w:pPr>
              <w:pStyle w:val="15"/>
              <w:snapToGrid w:val="0"/>
              <w:spacing w:line="360" w:lineRule="auto"/>
              <w:ind w:firstLine="420" w:firstLineChars="200"/>
              <w:rPr>
                <w:rFonts w:hAnsi="宋体" w:cs="宋体"/>
                <w:color w:val="auto"/>
                <w:kern w:val="2"/>
                <w:sz w:val="21"/>
                <w:highlight w:val="none"/>
              </w:rPr>
            </w:pPr>
            <w:r>
              <w:rPr>
                <w:rFonts w:hint="eastAsia" w:hAnsi="宋体" w:cs="宋体"/>
                <w:color w:val="auto"/>
                <w:kern w:val="2"/>
                <w:sz w:val="21"/>
                <w:highlight w:val="none"/>
              </w:rPr>
              <w:t>质疑联系部门及联系方式：</w:t>
            </w:r>
            <w:r>
              <w:rPr>
                <w:rFonts w:hint="eastAsia" w:hAnsi="宋体" w:cs="宋体"/>
                <w:color w:val="auto"/>
                <w:kern w:val="2"/>
                <w:sz w:val="21"/>
                <w:highlight w:val="none"/>
                <w:u w:val="single"/>
              </w:rPr>
              <w:t xml:space="preserve">广西科联招标中心有限公司防城港分公司 </w:t>
            </w:r>
            <w:r>
              <w:rPr>
                <w:rFonts w:hint="eastAsia" w:hAnsi="宋体" w:cs="宋体"/>
                <w:color w:val="auto"/>
                <w:kern w:val="2"/>
                <w:sz w:val="21"/>
                <w:highlight w:val="none"/>
              </w:rPr>
              <w:t>，联系电话：0770-2821504，通讯地址：防城港市港口区珍珠路珍珠苑C10栋</w:t>
            </w:r>
          </w:p>
          <w:p>
            <w:pPr>
              <w:autoSpaceDE w:val="0"/>
              <w:autoSpaceDN w:val="0"/>
              <w:snapToGrid w:val="0"/>
              <w:spacing w:line="360" w:lineRule="auto"/>
              <w:ind w:firstLine="420" w:firstLineChars="200"/>
              <w:textAlignment w:val="bottom"/>
              <w:rPr>
                <w:rFonts w:ascii="宋体" w:hAnsi="宋体"/>
                <w:color w:val="auto"/>
                <w:szCs w:val="21"/>
                <w:highlight w:val="none"/>
              </w:rPr>
            </w:pPr>
            <w:r>
              <w:rPr>
                <w:rFonts w:hint="eastAsia" w:hAnsi="宋体" w:cs="宋体"/>
                <w:color w:val="auto"/>
                <w:highlight w:val="none"/>
              </w:rPr>
              <w:t>现场提交质疑办理业务时间（北京时间）：每天上午8时00分到12时00分，下午</w:t>
            </w:r>
            <w:r>
              <w:rPr>
                <w:rFonts w:hAnsi="宋体" w:cs="宋体"/>
                <w:color w:val="auto"/>
                <w:highlight w:val="none"/>
              </w:rPr>
              <w:t>3</w:t>
            </w:r>
            <w:r>
              <w:rPr>
                <w:rFonts w:hint="eastAsia" w:hAnsi="宋体" w:cs="宋体"/>
                <w:color w:val="auto"/>
                <w:highlight w:val="none"/>
              </w:rPr>
              <w:t>时00分到</w:t>
            </w:r>
            <w:r>
              <w:rPr>
                <w:rFonts w:hAnsi="宋体" w:cs="宋体"/>
                <w:color w:val="auto"/>
                <w:highlight w:val="none"/>
              </w:rPr>
              <w:t>6</w:t>
            </w:r>
            <w:r>
              <w:rPr>
                <w:rFonts w:hint="eastAsia" w:hAnsi="宋体" w:cs="宋体"/>
                <w:color w:val="auto"/>
                <w:highlight w:val="none"/>
              </w:rPr>
              <w:t>时 00分，双休日和法定节假日不办理业务。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ascii="宋体" w:hAnsi="宋体" w:cs="宋体"/>
                <w:color w:val="auto"/>
                <w:szCs w:val="21"/>
                <w:highlight w:val="none"/>
              </w:rPr>
              <w:t>32.1</w:t>
            </w:r>
          </w:p>
        </w:tc>
        <w:tc>
          <w:tcPr>
            <w:tcW w:w="7912" w:type="dxa"/>
            <w:vAlign w:val="center"/>
          </w:tcPr>
          <w:p>
            <w:pPr>
              <w:pStyle w:val="15"/>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1.采购代理服务费支付方式：本项目采购代理服务费由</w:t>
            </w:r>
            <w:r>
              <w:rPr>
                <w:rFonts w:hint="eastAsia" w:hAnsi="宋体" w:cs="宋体"/>
                <w:color w:val="auto"/>
                <w:sz w:val="21"/>
                <w:highlight w:val="none"/>
                <w:u w:val="single"/>
              </w:rPr>
              <w:t>成交供应商</w:t>
            </w:r>
            <w:r>
              <w:rPr>
                <w:rFonts w:hint="eastAsia" w:hAnsi="宋体" w:cs="宋体"/>
                <w:color w:val="auto"/>
                <w:sz w:val="21"/>
                <w:highlight w:val="none"/>
              </w:rPr>
              <w:t>在签订合同前，以银行转账、电汇等方式一次性向采购代理机构支付。</w:t>
            </w:r>
          </w:p>
          <w:p>
            <w:pPr>
              <w:pStyle w:val="15"/>
              <w:snapToGrid w:val="0"/>
              <w:spacing w:line="360" w:lineRule="auto"/>
              <w:ind w:firstLine="420" w:firstLineChars="200"/>
              <w:rPr>
                <w:rFonts w:hint="default" w:hAnsi="宋体" w:eastAsia="宋体" w:cs="宋体"/>
                <w:color w:val="auto"/>
                <w:sz w:val="21"/>
                <w:highlight w:val="none"/>
                <w:lang w:val="en-US" w:eastAsia="zh-CN"/>
              </w:rPr>
            </w:pPr>
            <w:r>
              <w:rPr>
                <w:rFonts w:hint="eastAsia" w:hAnsi="宋体" w:cs="宋体"/>
                <w:color w:val="auto"/>
                <w:sz w:val="21"/>
                <w:highlight w:val="none"/>
              </w:rPr>
              <w:t>2.采购代理服务费收取标准：</w:t>
            </w:r>
            <w:r>
              <w:rPr>
                <w:rFonts w:hint="eastAsia" w:hAnsi="宋体" w:cs="宋体"/>
                <w:color w:val="auto"/>
                <w:sz w:val="21"/>
                <w:highlight w:val="none"/>
                <w:lang w:val="en-US" w:eastAsia="zh-CN"/>
              </w:rPr>
              <w:t>固定代理费：每家成交供应商人民币贰仟元整。</w:t>
            </w:r>
          </w:p>
          <w:p>
            <w:pPr>
              <w:pStyle w:val="15"/>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3. 缴纳采购代理服务费账户的信息：</w:t>
            </w:r>
          </w:p>
          <w:p>
            <w:pPr>
              <w:pStyle w:val="15"/>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开户名称：广西科联招标中心有限公司防城港分公司</w:t>
            </w:r>
          </w:p>
          <w:p>
            <w:pPr>
              <w:pStyle w:val="15"/>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开户银行：中国建设银行股份有限公司防城港桃花湾广场支行</w:t>
            </w:r>
          </w:p>
          <w:p>
            <w:pPr>
              <w:pStyle w:val="15"/>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帐号：45050165954200001533</w:t>
            </w:r>
          </w:p>
          <w:p>
            <w:pPr>
              <w:pStyle w:val="15"/>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财务联系电话：0770-2831072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33.1</w:t>
            </w:r>
          </w:p>
        </w:tc>
        <w:tc>
          <w:tcPr>
            <w:tcW w:w="7912" w:type="dxa"/>
            <w:vAlign w:val="center"/>
          </w:tcPr>
          <w:p>
            <w:pPr>
              <w:pStyle w:val="15"/>
              <w:snapToGrid w:val="0"/>
              <w:spacing w:line="360" w:lineRule="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解释：构成本竞争性磋商文件的各个组成文件应互为解释，互为说明；除竞争性磋商文件中有特别规定外，仅适用于竞标阶段的规定，按更正公告（澄清公告）、竞争性磋商公告、供应商须知、采购需求、评审程序、评审方法和评审标准、响应文件格式、拟定的合同文本的先后顺序解释；同一组成文件中就同一事项的规定或者约定不一致的，以编排顺序在后者为准；同一组成文件不同版本之间有不一致的，以形成时间在后者为准；更正公告（澄清公告）与同步更新的竞争性磋商文件不一致时以更正公告（澄清公告）为准。按本款前述规定仍不能形成结论的，由采购人或者采购代理机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r>
              <w:rPr>
                <w:rFonts w:ascii="宋体" w:hAnsi="宋体" w:cs="宋体"/>
                <w:color w:val="auto"/>
                <w:szCs w:val="21"/>
                <w:highlight w:val="none"/>
              </w:rPr>
              <w:t>3.2</w:t>
            </w:r>
          </w:p>
        </w:tc>
        <w:tc>
          <w:tcPr>
            <w:tcW w:w="7912" w:type="dxa"/>
            <w:vAlign w:val="center"/>
          </w:tcPr>
          <w:p>
            <w:pPr>
              <w:pStyle w:val="15"/>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1.本竞争性磋商文件中描述供应商的“公章”是指根据我国对公章的管理规定，用供应商法定主体行为名称制作的印章，除本竞争性磋商文件有特殊规定外，供应商的财务章、部门章、分公司章、工会章、合同章、竞标/投标专用章、业务专用章及银行的转账章、现金收讫章、现金付讫章等其他形式印章均不能代替公章。</w:t>
            </w:r>
          </w:p>
          <w:p>
            <w:pPr>
              <w:pStyle w:val="15"/>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2.供应商为其他组织或者自然人时，本竞争性磋商文件规定的法定代表人指负责人或者自然人。本竞争性磋商文件所称负责人是指参加竞标的其他组织营业执照上的负责人，本竞争性磋商文件所称自然人指参与竞标的自然人本人。</w:t>
            </w:r>
          </w:p>
          <w:p>
            <w:pPr>
              <w:pStyle w:val="15"/>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3.本竞争性磋商文件中描述供应商的“签字”是指供应商的法定代表人或者其委托代理人亲自在文件规定签署处亲笔写上个人的名字的行为，私章、签字章、印鉴、影印等其他形式均不能代替亲笔签字。</w:t>
            </w:r>
          </w:p>
          <w:p>
            <w:pPr>
              <w:pStyle w:val="15"/>
              <w:snapToGrid w:val="0"/>
              <w:spacing w:line="360" w:lineRule="auto"/>
              <w:ind w:firstLine="420" w:firstLineChars="200"/>
              <w:rPr>
                <w:rFonts w:hint="eastAsia" w:hAnsi="宋体" w:cs="宋体"/>
                <w:color w:val="auto"/>
                <w:sz w:val="21"/>
                <w:highlight w:val="none"/>
              </w:rPr>
            </w:pPr>
            <w:r>
              <w:rPr>
                <w:rFonts w:hint="eastAsia" w:hAnsi="宋体" w:cs="宋体"/>
                <w:color w:val="auto"/>
                <w:sz w:val="21"/>
                <w:highlight w:val="none"/>
              </w:rPr>
              <w:t>4.自然人竞标的，竞争性磋商文件规定盖公章处由自然人摁手指指印。</w:t>
            </w:r>
          </w:p>
          <w:p>
            <w:pPr>
              <w:pStyle w:val="15"/>
              <w:snapToGrid w:val="0"/>
              <w:spacing w:line="360" w:lineRule="auto"/>
              <w:ind w:firstLine="420" w:firstLineChars="200"/>
              <w:rPr>
                <w:rFonts w:hAnsi="宋体" w:cs="宋体"/>
                <w:color w:val="auto"/>
                <w:sz w:val="21"/>
                <w:highlight w:val="none"/>
              </w:rPr>
            </w:pPr>
            <w:r>
              <w:rPr>
                <w:rFonts w:hint="eastAsia" w:hAnsi="宋体" w:cs="宋体"/>
                <w:color w:val="auto"/>
                <w:sz w:val="21"/>
                <w:highlight w:val="none"/>
              </w:rPr>
              <w:t>5.本竞争性磋商文件所称的“以上”“以下”“以内”“届满”，包括本数；所称的“不满”“超过”“以外”，不包括本数。</w:t>
            </w:r>
          </w:p>
        </w:tc>
      </w:tr>
    </w:tbl>
    <w:p>
      <w:pPr>
        <w:spacing w:line="400" w:lineRule="exact"/>
        <w:ind w:firstLine="643" w:firstLineChars="200"/>
        <w:jc w:val="center"/>
        <w:rPr>
          <w:rFonts w:ascii="宋体" w:hAnsi="宋体"/>
          <w:b/>
          <w:color w:val="auto"/>
          <w:sz w:val="32"/>
          <w:szCs w:val="32"/>
          <w:highlight w:val="none"/>
        </w:rPr>
      </w:pPr>
      <w:r>
        <w:rPr>
          <w:rFonts w:ascii="宋体" w:hAnsi="宋体"/>
          <w:b/>
          <w:color w:val="auto"/>
          <w:sz w:val="32"/>
          <w:szCs w:val="32"/>
          <w:highlight w:val="none"/>
        </w:rPr>
        <w:br w:type="page"/>
      </w:r>
      <w:r>
        <w:rPr>
          <w:rFonts w:hint="eastAsia" w:ascii="宋体" w:hAnsi="宋体"/>
          <w:b/>
          <w:color w:val="auto"/>
          <w:sz w:val="32"/>
          <w:szCs w:val="32"/>
          <w:highlight w:val="none"/>
        </w:rPr>
        <w:t>供应商须知正文</w:t>
      </w:r>
    </w:p>
    <w:p>
      <w:pPr>
        <w:spacing w:line="400" w:lineRule="exact"/>
        <w:jc w:val="center"/>
        <w:rPr>
          <w:rFonts w:ascii="宋体" w:hAnsi="宋体"/>
          <w:b/>
          <w:color w:val="auto"/>
          <w:sz w:val="32"/>
          <w:szCs w:val="32"/>
          <w:highlight w:val="none"/>
        </w:rPr>
      </w:pPr>
    </w:p>
    <w:p>
      <w:pPr>
        <w:spacing w:line="400" w:lineRule="exact"/>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一、总则</w:t>
      </w:r>
    </w:p>
    <w:p>
      <w:pPr>
        <w:spacing w:line="400" w:lineRule="exact"/>
        <w:rPr>
          <w:rFonts w:ascii="宋体" w:hAnsi="宋体"/>
          <w:color w:val="auto"/>
          <w:szCs w:val="21"/>
          <w:highlight w:val="none"/>
        </w:rPr>
      </w:pP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1.适用范围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1.1本项目采购人、采购代理机构、供应商、磋商小组的相关行为均受《中华人民共和国政府采购法》《中华人民共和国政府采购法实施条例》</w:t>
      </w:r>
      <w:r>
        <w:rPr>
          <w:rFonts w:hint="eastAsia" w:ascii="宋体" w:hAnsi="宋体"/>
          <w:color w:val="auto"/>
          <w:szCs w:val="21"/>
          <w:highlight w:val="none"/>
        </w:rPr>
        <w:t>《政府采购竞争性磋商采购方式管理暂行办法》《财政部关于政府采购竞争性磋商采购方式管理暂行办法有关问题的补充通知》</w:t>
      </w:r>
      <w:r>
        <w:rPr>
          <w:rFonts w:hint="eastAsia" w:ascii="宋体" w:hAnsi="宋体" w:cs="宋体"/>
          <w:color w:val="auto"/>
          <w:szCs w:val="21"/>
          <w:highlight w:val="none"/>
        </w:rPr>
        <w:t>及本项目本级和上级财政部门政府采购有关规定的约束和保护。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w:t>
      </w:r>
      <w:r>
        <w:rPr>
          <w:rFonts w:hint="eastAsia" w:ascii="宋体" w:hAnsi="宋体" w:cs="宋体"/>
          <w:color w:val="auto"/>
          <w:spacing w:val="-6"/>
          <w:szCs w:val="21"/>
          <w:highlight w:val="none"/>
        </w:rPr>
        <w:t>本竞争性磋商文件（以下简称磋商文件）适用于本项目的所有采购程序和环节（法律、法规另有规定的，从其规定）。</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2.定义</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2.1“采购人”是指依法进行政府采购的国家机关、事业单位、团体组织。</w:t>
      </w:r>
    </w:p>
    <w:p>
      <w:pPr>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2.2“采购代理机构”是指政府采购代理机构（以下简称采购代理机构）是指集中采购机构以外、受采购人委托从事政府采购代理业务的社会中介机构。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2.3“供应商”是指向采购人提供货物、工程或者服务的法人、其他组织或者自然人。</w:t>
      </w:r>
    </w:p>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2.4“服务”是指除货物和工程以外的其他政府采购对象。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5</w:t>
      </w:r>
      <w:r>
        <w:rPr>
          <w:rFonts w:hint="eastAsia" w:ascii="宋体" w:hAnsi="宋体" w:cs="宋体"/>
          <w:color w:val="auto"/>
          <w:szCs w:val="21"/>
          <w:highlight w:val="none"/>
        </w:rPr>
        <w:t>“竞标”是指供应商按照本项目竞争性磋商公告或者邀请函规定的方式获取磋商文件、提交响应文件并希望获得标的的行为。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6</w:t>
      </w:r>
      <w:r>
        <w:rPr>
          <w:rFonts w:hint="eastAsia" w:ascii="宋体" w:hAnsi="宋体" w:cs="宋体"/>
          <w:color w:val="auto"/>
          <w:szCs w:val="21"/>
          <w:highlight w:val="none"/>
        </w:rPr>
        <w:t>“响应文件”</w:t>
      </w:r>
      <w:r>
        <w:rPr>
          <w:rFonts w:hint="eastAsia" w:ascii="宋体" w:hAnsi="宋体" w:cs="宋体"/>
          <w:color w:val="auto"/>
          <w:spacing w:val="-6"/>
          <w:szCs w:val="21"/>
          <w:highlight w:val="none"/>
        </w:rPr>
        <w:t>是指：供应商根据本磋商文件要求，编制包含资格证明、报价商务技术等所有内容的文件。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7</w:t>
      </w:r>
      <w:r>
        <w:rPr>
          <w:rFonts w:hint="eastAsia" w:ascii="宋体" w:hAnsi="宋体" w:cs="宋体"/>
          <w:color w:val="auto"/>
          <w:szCs w:val="21"/>
          <w:highlight w:val="none"/>
        </w:rPr>
        <w:t>“实质性要求”是指磋商文件中已经指明不满足则响应文件按无效响应处理的条款，或者不能负偏离的条款，或者采购需求中带“▲”的条款。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8</w:t>
      </w:r>
      <w:r>
        <w:rPr>
          <w:rFonts w:hint="eastAsia" w:ascii="宋体" w:hAnsi="宋体" w:cs="宋体"/>
          <w:color w:val="auto"/>
          <w:szCs w:val="21"/>
          <w:highlight w:val="none"/>
        </w:rPr>
        <w:t>“正偏离”，是指响应文件对磋商文件“采购需求”中有关条款作出的响应优于条款要求并有利于采购人的情形。</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2.9</w:t>
      </w:r>
      <w:r>
        <w:rPr>
          <w:rFonts w:hint="eastAsia" w:ascii="宋体" w:hAnsi="宋体" w:cs="宋体"/>
          <w:color w:val="auto"/>
          <w:szCs w:val="21"/>
          <w:highlight w:val="none"/>
        </w:rPr>
        <w:t>“负偏离”，是指响应文件对磋商文件“采购需求”中有关条款作出的响应不满足条款要求，导致采购人要求不能得到满足的情形。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2.10“允许负偏离的条款”是指采购需求中的不属于“实质性要求”的条款。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11</w:t>
      </w:r>
      <w:r>
        <w:rPr>
          <w:rFonts w:hint="eastAsia" w:ascii="宋体" w:hAnsi="宋体" w:cs="宋体"/>
          <w:color w:val="auto"/>
          <w:szCs w:val="21"/>
          <w:highlight w:val="none"/>
        </w:rPr>
        <w:t>“书面形式”是指合同书、信件和数据电文（包括电报、电传、传真、电子数据交换和电子邮件）等可以有形地表现所载内容的形式。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12</w:t>
      </w:r>
      <w:r>
        <w:rPr>
          <w:rFonts w:hint="eastAsia" w:ascii="宋体" w:hAnsi="宋体" w:cs="宋体"/>
          <w:color w:val="auto"/>
          <w:szCs w:val="21"/>
          <w:highlight w:val="none"/>
        </w:rPr>
        <w:t>“首次报价”是指供应商提交的首次响应文件中的报价。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2.1</w:t>
      </w:r>
      <w:r>
        <w:rPr>
          <w:rFonts w:ascii="宋体" w:hAnsi="宋体" w:cs="宋体"/>
          <w:color w:val="auto"/>
          <w:szCs w:val="21"/>
          <w:highlight w:val="none"/>
        </w:rPr>
        <w:t>3</w:t>
      </w:r>
      <w:r>
        <w:rPr>
          <w:rFonts w:hint="eastAsia" w:ascii="宋体" w:hAnsi="宋体" w:cs="宋体"/>
          <w:color w:val="auto"/>
          <w:szCs w:val="21"/>
          <w:highlight w:val="none"/>
        </w:rPr>
        <w:t>“评审价”是指供应商提交的最后报价并经修正（如有）和政策功能价格扣除（如有）后的价格。</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3.供应商的资格条件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供应商的资格条件详见“供应商须知前附表”。</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4.竞标费用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供应商应承担参与本次采购活动有关的所有费用，包括但不限于获取磋商文件、勘查现场、编制和提交响应文件、参加磋商与应答、签订合同等，不论竞标结果如何，均应自行承担。</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5.联合体竞标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5.1本项目是否接受联合体竞标，详见“供应商须知前附表”。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5.2</w:t>
      </w:r>
      <w:r>
        <w:rPr>
          <w:rFonts w:hint="eastAsia" w:ascii="宋体" w:hAnsi="宋体"/>
          <w:color w:val="auto"/>
          <w:highlight w:val="none"/>
        </w:rPr>
        <w:t>如接受联合体竞标，</w:t>
      </w:r>
      <w:r>
        <w:rPr>
          <w:rFonts w:hint="eastAsia" w:ascii="宋体" w:hAnsi="宋体" w:cs="宋体"/>
          <w:color w:val="auto"/>
          <w:szCs w:val="21"/>
          <w:highlight w:val="none"/>
        </w:rPr>
        <w:t>联合体竞标要求详见“供应商须知前附表”。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5.3</w:t>
      </w:r>
      <w:r>
        <w:rPr>
          <w:rFonts w:hint="eastAsia" w:ascii="宋体" w:hAnsi="宋体"/>
          <w:bCs/>
          <w:color w:val="auto"/>
          <w:szCs w:val="21"/>
          <w:highlight w:val="none"/>
        </w:rPr>
        <w:t>根据《</w:t>
      </w:r>
      <w:r>
        <w:rPr>
          <w:rFonts w:hint="eastAsia" w:ascii="宋体" w:hAnsi="宋体"/>
          <w:color w:val="auto"/>
          <w:szCs w:val="21"/>
          <w:highlight w:val="none"/>
        </w:rPr>
        <w:t>政府采购促进中小企业发展管理办法</w:t>
      </w:r>
      <w:r>
        <w:rPr>
          <w:rFonts w:hint="eastAsia" w:ascii="宋体" w:hAnsi="宋体"/>
          <w:bCs/>
          <w:color w:val="auto"/>
          <w:szCs w:val="21"/>
          <w:highlight w:val="none"/>
        </w:rPr>
        <w:t>》第九条规定</w:t>
      </w:r>
      <w:r>
        <w:rPr>
          <w:rFonts w:hint="eastAsia" w:ascii="宋体" w:hAnsi="宋体" w:cs="宋体"/>
          <w:color w:val="auto"/>
          <w:szCs w:val="21"/>
          <w:highlight w:val="none"/>
        </w:rPr>
        <w:t>，“接受大中型企业与小微企业组成联合体或者允许大中型企业向一家或者多家小微企业分包的采购项目，对于联合协议或者分包意向协议约定小微企业的合同份额占到合同总金额 30%以上的，采购人、采购代理机构应当对联合体或者大中型企业的报价给予 2%-3%的扣 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 xml:space="preserve">6.转包与分包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6.1本项目不允许转包。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6.2本项目是否允许分包详见“供应商须知前附表”，本项目不允许违法分包。</w:t>
      </w:r>
    </w:p>
    <w:p>
      <w:pPr>
        <w:spacing w:line="360" w:lineRule="auto"/>
        <w:ind w:firstLine="482" w:firstLineChars="200"/>
        <w:rPr>
          <w:rFonts w:ascii="黑体" w:hAnsi="黑体" w:eastAsia="黑体" w:cs="宋体"/>
          <w:b/>
          <w:bCs/>
          <w:color w:val="auto"/>
          <w:sz w:val="24"/>
          <w:highlight w:val="none"/>
        </w:rPr>
      </w:pPr>
      <w:bookmarkStart w:id="27" w:name="_Toc254970673"/>
      <w:bookmarkStart w:id="28" w:name="_Toc254970532"/>
      <w:r>
        <w:rPr>
          <w:rFonts w:hint="eastAsia" w:ascii="黑体" w:hAnsi="黑体" w:eastAsia="黑体" w:cs="宋体"/>
          <w:b/>
          <w:bCs/>
          <w:color w:val="auto"/>
          <w:sz w:val="24"/>
          <w:highlight w:val="none"/>
        </w:rPr>
        <w:t>7.特别说明</w:t>
      </w:r>
      <w:bookmarkEnd w:id="27"/>
      <w:bookmarkEnd w:id="28"/>
    </w:p>
    <w:p>
      <w:pPr>
        <w:spacing w:line="360" w:lineRule="auto"/>
        <w:ind w:firstLine="420" w:firstLineChars="200"/>
        <w:rPr>
          <w:rFonts w:ascii="宋体" w:hAnsi="宋体" w:cs="宋体"/>
          <w:color w:val="auto"/>
          <w:szCs w:val="21"/>
          <w:highlight w:val="none"/>
        </w:rPr>
      </w:pPr>
      <w:bookmarkStart w:id="29" w:name="_8.1提供相同品牌产品且通过资格审查、符合性审查的不同投标人参加同一合"/>
      <w:bookmarkEnd w:id="29"/>
      <w:r>
        <w:rPr>
          <w:rFonts w:hint="eastAsia" w:ascii="宋体" w:hAnsi="宋体" w:cs="宋体"/>
          <w:color w:val="auto"/>
          <w:szCs w:val="21"/>
          <w:highlight w:val="none"/>
        </w:rPr>
        <w:t>7.</w:t>
      </w:r>
      <w:r>
        <w:rPr>
          <w:rFonts w:ascii="宋体" w:hAnsi="宋体" w:cs="宋体"/>
          <w:color w:val="auto"/>
          <w:szCs w:val="21"/>
          <w:highlight w:val="none"/>
        </w:rPr>
        <w:t>1</w:t>
      </w:r>
      <w:r>
        <w:rPr>
          <w:rFonts w:hint="eastAsia" w:ascii="宋体" w:hAnsi="宋体"/>
          <w:color w:val="auto"/>
          <w:szCs w:val="21"/>
          <w:highlight w:val="none"/>
        </w:rPr>
        <w:t>如果本磋商文件要求供应商提供资格、信誉、荣誉、业绩与企业认证等材料的，则供应商所提供的以上材料必须为本供应商所拥有</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2</w:t>
      </w:r>
      <w:r>
        <w:rPr>
          <w:rFonts w:hint="eastAsia" w:ascii="宋体" w:hAnsi="宋体" w:cs="宋体"/>
          <w:color w:val="auto"/>
          <w:szCs w:val="21"/>
          <w:highlight w:val="none"/>
        </w:rPr>
        <w:t>供应商应仔细阅读磋商文件的所有内容，按照磋商文件的要求提交响应文件，并对所提供的全部资料的真实性承担法律责任。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3</w:t>
      </w:r>
      <w:r>
        <w:rPr>
          <w:rFonts w:hint="eastAsia" w:ascii="宋体" w:hAnsi="宋体" w:cs="宋体"/>
          <w:color w:val="auto"/>
          <w:szCs w:val="21"/>
          <w:highlight w:val="none"/>
        </w:rPr>
        <w:t>供应商在竞标活动中提供任何疑似虚假材料，将报监管部门查处；签订合同后发现的，成交供应商须依照《中华人民共和国消费者权益保护法》规定赔偿采购人，且民事赔偿并不免除违法供应商的行政与刑事责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4</w:t>
      </w:r>
      <w:r>
        <w:rPr>
          <w:rFonts w:hint="eastAsia" w:ascii="宋体" w:hAnsi="宋体" w:cs="宋体"/>
          <w:color w:val="auto"/>
          <w:szCs w:val="21"/>
          <w:highlight w:val="none"/>
        </w:rPr>
        <w:t>在政府采购活动中，采购人员及相关人员与供应商有下列利害关系之一的，应当回避：</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（1）参加采购活动前3年内与供应商存在劳动关系；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（2）参加采购活动前3年内担任供应商的董事、监事；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（3）参加采购活动前3年内是供应商的控股股东或者实际控制人；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（4）与供应商的法定代表人或者负责人有夫妻、直系血亲、三代以内旁系血亲或者近姻亲关系；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（5）与供应商有其他可能影响政府采购活动公平、公正进行的关系。</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5</w:t>
      </w:r>
      <w:r>
        <w:rPr>
          <w:rFonts w:hint="eastAsia" w:ascii="宋体" w:hAnsi="宋体" w:cs="宋体"/>
          <w:color w:val="auto"/>
          <w:szCs w:val="21"/>
          <w:highlight w:val="none"/>
        </w:rPr>
        <w:t>有下列情形之一的视为供应商相互串通竞标，响应文件将被视为无效：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（1）不同供应商的响应文件由同一单位或者个人编制；或者不同供应商报名的IP地址一致的；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（2）不同供应商委托同一单位或者个人办理竞标事宜；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（3）不同的供应商的响应文件载明的项目管理员或者联系人员为同一个人；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（4）不同供应商的响应文件异常一致或者报价呈规律性差异；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（5）不同供应商的响应文件相互混装；</w:t>
      </w:r>
    </w:p>
    <w:p>
      <w:pPr>
        <w:tabs>
          <w:tab w:val="left" w:pos="6931"/>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（6）不同供应商的磋商保证金从同一单位或者个人账户转出。</w:t>
      </w:r>
      <w:r>
        <w:rPr>
          <w:rFonts w:ascii="宋体" w:hAnsi="宋体" w:cs="宋体"/>
          <w:color w:val="auto"/>
          <w:szCs w:val="21"/>
          <w:highlight w:val="none"/>
        </w:rPr>
        <w:tab/>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w:t>
      </w:r>
      <w:r>
        <w:rPr>
          <w:rFonts w:ascii="宋体" w:hAnsi="宋体" w:cs="宋体"/>
          <w:color w:val="auto"/>
          <w:szCs w:val="21"/>
          <w:highlight w:val="none"/>
        </w:rPr>
        <w:t>6</w:t>
      </w:r>
      <w:r>
        <w:rPr>
          <w:rFonts w:hint="eastAsia" w:ascii="宋体" w:hAnsi="宋体" w:cs="宋体"/>
          <w:color w:val="auto"/>
          <w:szCs w:val="21"/>
          <w:highlight w:val="none"/>
        </w:rPr>
        <w:t>供应商有下列情形之一的，属于恶意串通行为，将报同级监督管理部门：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（1）供应商直接或者间接从采购人或者采购代理机构处获得其他供应商的相关信息并修改其响应文件；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（2）供应商按照采购人或者采购代理机构的授意撤换、修改响应文件；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（3）供应商之间协商报价、技术方案等响应文件或者响应文件的实质性内容；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（4）属于同一集团、协会、商会等组织成员的供应商按照该组织要求协同参加政府采购活动；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（5）供应商之间事先约定一致抬高或者压低报价，或者在政府采购活动中事先约定轮流以高价位或者低价位成交，或者事先约定由某一特定供应商成交，然后再参加竞标；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（6）供应商之间商定部分供应商放弃参加政府采购活动或者放弃成交；</w:t>
      </w:r>
    </w:p>
    <w:p>
      <w:pPr>
        <w:spacing w:line="360" w:lineRule="auto"/>
        <w:ind w:firstLine="420" w:firstLineChars="200"/>
        <w:rPr>
          <w:color w:val="auto"/>
          <w:highlight w:val="none"/>
        </w:rPr>
      </w:pPr>
      <w:r>
        <w:rPr>
          <w:rFonts w:hint="eastAsia" w:ascii="宋体" w:hAnsi="宋体" w:cs="宋体"/>
          <w:color w:val="auto"/>
          <w:szCs w:val="21"/>
          <w:highlight w:val="none"/>
        </w:rPr>
        <w:t>（7）供应商与采购人或者采购代理机构之间、供应商相互之间，为谋求特定供应商成交或者排斥其他供应商的其他串通行为。</w:t>
      </w:r>
      <w:bookmarkStart w:id="30" w:name="_Toc254970534"/>
      <w:bookmarkStart w:id="31" w:name="_Toc254970675"/>
    </w:p>
    <w:p>
      <w:pPr>
        <w:spacing w:line="360" w:lineRule="auto"/>
        <w:ind w:firstLine="643" w:firstLineChars="200"/>
        <w:jc w:val="center"/>
        <w:rPr>
          <w:rFonts w:ascii="宋体" w:hAnsi="宋体"/>
          <w:b/>
          <w:bCs/>
          <w:color w:val="auto"/>
          <w:sz w:val="32"/>
          <w:szCs w:val="32"/>
          <w:highlight w:val="none"/>
        </w:rPr>
      </w:pPr>
      <w:r>
        <w:rPr>
          <w:rFonts w:hint="eastAsia" w:ascii="宋体" w:hAnsi="宋体"/>
          <w:b/>
          <w:bCs/>
          <w:color w:val="auto"/>
          <w:sz w:val="32"/>
          <w:szCs w:val="32"/>
          <w:highlight w:val="none"/>
        </w:rPr>
        <w:t>二、磋商文件</w:t>
      </w:r>
      <w:bookmarkEnd w:id="30"/>
      <w:bookmarkEnd w:id="31"/>
    </w:p>
    <w:p>
      <w:pPr>
        <w:spacing w:line="360" w:lineRule="auto"/>
        <w:jc w:val="center"/>
        <w:rPr>
          <w:rFonts w:ascii="宋体" w:hAnsi="宋体"/>
          <w:color w:val="auto"/>
          <w:szCs w:val="21"/>
          <w:highlight w:val="none"/>
        </w:rPr>
      </w:pP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8.磋商文件的构成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（1）竞争性磋商公告；</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 xml:space="preserve">（2）供应商须知； </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（3）采购需求；</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（4）评审方法及定标标准；</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（5）响应文件格式；</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w:t>
      </w:r>
      <w:r>
        <w:rPr>
          <w:rFonts w:hint="eastAsia"/>
          <w:color w:val="auto"/>
          <w:highlight w:val="none"/>
        </w:rPr>
        <w:t>拟定的</w:t>
      </w:r>
      <w:r>
        <w:rPr>
          <w:rFonts w:hint="eastAsia" w:ascii="宋体" w:hAnsi="宋体"/>
          <w:color w:val="auto"/>
          <w:szCs w:val="21"/>
          <w:highlight w:val="none"/>
        </w:rPr>
        <w:t>合同文本。</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9.供应商的询问</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供应商应认真阅读磋商文件的采购需求，如供应商对磋商文件有疑问的，如要求采购人作出澄清或者修改的，供应商尽可能在</w:t>
      </w:r>
      <w:r>
        <w:rPr>
          <w:rFonts w:ascii="宋体" w:hAnsi="宋体"/>
          <w:color w:val="auto"/>
          <w:szCs w:val="21"/>
          <w:highlight w:val="none"/>
        </w:rPr>
        <w:t>提交首次响应文件截止之日前</w:t>
      </w:r>
      <w:r>
        <w:rPr>
          <w:rFonts w:hint="eastAsia" w:ascii="宋体" w:hAnsi="宋体"/>
          <w:color w:val="auto"/>
          <w:szCs w:val="21"/>
          <w:highlight w:val="none"/>
        </w:rPr>
        <w:t>，以书面形式向</w:t>
      </w:r>
      <w:r>
        <w:rPr>
          <w:rFonts w:ascii="宋体" w:hAnsi="宋体"/>
          <w:color w:val="auto"/>
          <w:szCs w:val="21"/>
          <w:highlight w:val="none"/>
        </w:rPr>
        <w:t>采购人、采购代理机构</w:t>
      </w:r>
      <w:r>
        <w:rPr>
          <w:rFonts w:hint="eastAsia" w:ascii="宋体" w:hAnsi="宋体"/>
          <w:color w:val="auto"/>
          <w:szCs w:val="21"/>
          <w:highlight w:val="none"/>
        </w:rPr>
        <w:t>提出。</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10.磋商文件的澄清和修改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提交首次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5日前，在中国政府采购网、中国采购与招标网发布更正公告，更正公告一经发布，视作已以书面形式通知所有潜在供应商、所有获取竞争性磋商采购文件的潜在供应商，不再另行通知，所有潜在供应商应密切关注原竞争性磋商公告发布媒体，因未能及时获知，由此产生的后果均应自行承担；不足5日的，采购人、采购代理机构应当顺延提交首次响应文件截止时间。</w:t>
      </w:r>
    </w:p>
    <w:p>
      <w:pPr>
        <w:spacing w:line="360" w:lineRule="auto"/>
        <w:rPr>
          <w:rFonts w:ascii="宋体" w:hAnsi="宋体"/>
          <w:color w:val="auto"/>
          <w:szCs w:val="21"/>
          <w:highlight w:val="none"/>
        </w:rPr>
      </w:pPr>
    </w:p>
    <w:p>
      <w:pPr>
        <w:spacing w:line="360" w:lineRule="auto"/>
        <w:ind w:firstLine="643" w:firstLineChars="200"/>
        <w:jc w:val="center"/>
        <w:rPr>
          <w:rFonts w:ascii="宋体" w:hAnsi="宋体"/>
          <w:b/>
          <w:bCs/>
          <w:color w:val="auto"/>
          <w:szCs w:val="21"/>
          <w:highlight w:val="none"/>
        </w:rPr>
      </w:pPr>
      <w:r>
        <w:rPr>
          <w:rFonts w:hint="eastAsia" w:ascii="宋体" w:hAnsi="宋体"/>
          <w:b/>
          <w:bCs/>
          <w:color w:val="auto"/>
          <w:sz w:val="32"/>
          <w:szCs w:val="32"/>
          <w:highlight w:val="none"/>
        </w:rPr>
        <w:t>三、响应文件的编制</w:t>
      </w:r>
    </w:p>
    <w:p>
      <w:pPr>
        <w:spacing w:line="360" w:lineRule="auto"/>
        <w:rPr>
          <w:rFonts w:ascii="宋体" w:hAnsi="宋体"/>
          <w:color w:val="auto"/>
          <w:szCs w:val="21"/>
          <w:highlight w:val="none"/>
        </w:rPr>
      </w:pP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11.响应文件的编制原则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供应商必须按照磋商文件的要求编制响应文件，并对其提交的响应文件的真实性、合法性承担法律责任。响应文件必须对磋商文件作出实质性响应。</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12.响应文件的组成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12.1响应文件由资格证明文件、报价商务技术文件两部分组成。</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2.1.1</w:t>
      </w:r>
      <w:r>
        <w:rPr>
          <w:rFonts w:hint="eastAsia" w:ascii="宋体" w:hAnsi="宋体" w:cs="宋体"/>
          <w:color w:val="auto"/>
          <w:szCs w:val="21"/>
          <w:highlight w:val="none"/>
        </w:rPr>
        <w:t>资格证明文件：详见须知前附表</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2.1.2</w:t>
      </w:r>
      <w:r>
        <w:rPr>
          <w:rFonts w:hint="eastAsia" w:ascii="宋体" w:hAnsi="宋体" w:cs="宋体"/>
          <w:color w:val="auto"/>
          <w:szCs w:val="21"/>
          <w:highlight w:val="none"/>
        </w:rPr>
        <w:t>报价商务技术文件：详见须知前附表</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12.</w:t>
      </w:r>
      <w:r>
        <w:rPr>
          <w:rFonts w:ascii="宋体" w:hAnsi="宋体" w:cs="宋体"/>
          <w:color w:val="auto"/>
          <w:szCs w:val="21"/>
          <w:highlight w:val="none"/>
        </w:rPr>
        <w:t>2</w:t>
      </w:r>
      <w:r>
        <w:rPr>
          <w:rFonts w:hint="eastAsia" w:ascii="宋体" w:hAnsi="宋体" w:cs="宋体"/>
          <w:color w:val="auto"/>
          <w:szCs w:val="21"/>
          <w:highlight w:val="none"/>
        </w:rPr>
        <w:t>响应文件电子版：详见须知前附表</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13.计量单位</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磋商文件已有明确规定的，使用磋商文件规定的计量单位；磋商文件没有规定的，应采用中华人民共和国法定计量单位，货币种类为人民币，否则视同未响应。</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14.竞标的风险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供应商没有按照磋商文件要求提供全部资料，或者供应商没有对磋商文件在各方面作出实质性响应可能导致其响应无效，是供应商应当考虑的风险。</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15.竞标报价要求和构成</w:t>
      </w:r>
    </w:p>
    <w:p>
      <w:pPr>
        <w:tabs>
          <w:tab w:val="left" w:pos="2492"/>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15.1竞标报价应按磋商文件中“竞标报价表”格式填写。</w:t>
      </w:r>
    </w:p>
    <w:p>
      <w:pPr>
        <w:tabs>
          <w:tab w:val="left" w:pos="2492"/>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15.2竞标报价的价格构成见“供应商须知前附表”。</w:t>
      </w:r>
    </w:p>
    <w:p>
      <w:pPr>
        <w:spacing w:line="360" w:lineRule="auto"/>
        <w:ind w:left="426" w:leftChars="203" w:firstLine="420" w:firstLineChars="200"/>
        <w:rPr>
          <w:rFonts w:ascii="宋体" w:hAnsi="宋体" w:cs="宋体"/>
          <w:color w:val="auto"/>
          <w:szCs w:val="21"/>
          <w:highlight w:val="none"/>
        </w:rPr>
      </w:pPr>
      <w:r>
        <w:rPr>
          <w:rFonts w:hint="eastAsia" w:ascii="宋体" w:hAnsi="宋体" w:cs="宋体"/>
          <w:color w:val="auto"/>
          <w:szCs w:val="21"/>
          <w:highlight w:val="none"/>
        </w:rPr>
        <w:t>15.3竞标报价要求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5.3.1</w:t>
      </w:r>
      <w:r>
        <w:rPr>
          <w:rFonts w:hint="eastAsia" w:ascii="宋体" w:hAnsi="宋体" w:cs="宋体"/>
          <w:color w:val="auto"/>
          <w:szCs w:val="21"/>
          <w:highlight w:val="none"/>
        </w:rPr>
        <w:t>供应商的竞标报价应符合以下要求，否则响应文件按无效响应处理：</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（1）供应商必须就“采购需求”中所竞标的每个分标的全部内容分别作完整唯一总价报价，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不得存在漏项报价；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）供应商必须就所竞标的分标的单项内容作唯一报价。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15.3.</w:t>
      </w:r>
      <w:r>
        <w:rPr>
          <w:rFonts w:ascii="宋体" w:hAnsi="宋体" w:cs="宋体"/>
          <w:color w:val="auto"/>
          <w:szCs w:val="21"/>
          <w:highlight w:val="none"/>
        </w:rPr>
        <w:t>2</w:t>
      </w:r>
      <w:r>
        <w:rPr>
          <w:rFonts w:hint="eastAsia" w:ascii="宋体" w:hAnsi="宋体" w:cs="宋体"/>
          <w:color w:val="auto"/>
          <w:szCs w:val="21"/>
          <w:highlight w:val="none"/>
        </w:rPr>
        <w:t>竞标报价（包含首次报价、最后报价）超过所竞标分标规定的采购预算金额或者最高限价的（如本项目公布了最高限价），其响应文件将作无效处理。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15.3.</w:t>
      </w:r>
      <w:r>
        <w:rPr>
          <w:rFonts w:ascii="宋体" w:hAnsi="宋体" w:cs="宋体"/>
          <w:color w:val="auto"/>
          <w:szCs w:val="21"/>
          <w:highlight w:val="none"/>
        </w:rPr>
        <w:t>3</w:t>
      </w:r>
      <w:bookmarkStart w:id="32" w:name="_Hlk42592874"/>
      <w:r>
        <w:rPr>
          <w:rFonts w:hint="eastAsia" w:ascii="宋体" w:hAnsi="宋体" w:cs="宋体"/>
          <w:color w:val="auto"/>
          <w:szCs w:val="21"/>
          <w:highlight w:val="none"/>
        </w:rPr>
        <w:t>竞标报价（包含首次报价、最后报价）超过分项采购预算金额或者最高限价的（如本项目公布了最高限价），其响应文件将作无效处理。</w:t>
      </w:r>
    </w:p>
    <w:bookmarkEnd w:id="32"/>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16.竞标有效期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16.1竞标有效期是指为保证采购人有足够的时间在提交响应文件后完成评审、确定成交供应商、合同签订等工作而要求供应商提交的响应文件在一定时间内保持有效的期限。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16.2 竞标有效期应由供应商按“供应商须知前附表”规定的期限作出响应。</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16.3供应商的响应文件在竞标有效期内均保持有效。</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17.磋商保证金</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17.1供应商须按“供应商须知前附表”的规定提交磋商保证金。</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17.2磋商保证金的退还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17.2.1未</w:t>
      </w:r>
      <w:r>
        <w:rPr>
          <w:rFonts w:hint="eastAsia" w:ascii="宋体" w:hAnsi="宋体" w:cs="宋体"/>
          <w:color w:val="auto"/>
          <w:spacing w:val="-6"/>
          <w:szCs w:val="21"/>
          <w:highlight w:val="none"/>
        </w:rPr>
        <w:t>成交供应商的磋商保证金自成交通知书发出之日起5个工作日内退还，退还方式如下：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（1）采用银行转账方式的，以转账方式退回到供应商银行账户。</w:t>
      </w:r>
    </w:p>
    <w:p>
      <w:pPr>
        <w:pStyle w:val="9"/>
        <w:spacing w:line="360" w:lineRule="auto"/>
        <w:ind w:firstLine="420" w:firstLineChars="200"/>
        <w:rPr>
          <w:rFonts w:ascii="宋体" w:hAnsi="宋体"/>
          <w:color w:val="auto"/>
          <w:szCs w:val="21"/>
          <w:highlight w:val="none"/>
        </w:rPr>
      </w:pPr>
      <w:r>
        <w:rPr>
          <w:rFonts w:hint="eastAsia" w:ascii="宋体" w:hAnsi="宋体" w:cs="宋体"/>
          <w:color w:val="auto"/>
          <w:szCs w:val="21"/>
          <w:highlight w:val="none"/>
        </w:rPr>
        <w:t>（2）</w:t>
      </w:r>
      <w:r>
        <w:rPr>
          <w:rFonts w:hint="eastAsia" w:ascii="宋体" w:hAnsi="宋体"/>
          <w:color w:val="auto"/>
          <w:szCs w:val="21"/>
          <w:highlight w:val="none"/>
        </w:rPr>
        <w:t>采用支票、汇票、本票或者金融机构、担保机构出具的保函等方式的，由供应商代表持相关授权证明材料至采购代理机构办理支票、汇票、本票或者金融机构、担保机构出具的保函等原件退还手续。</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17.2.2成交供应商的磋商保证金自签订合同之日起5个工作日内退还，退还方式同未成交供应商的磋商保证金的退还方式。 </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17.3磋商保证金不计息。</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17.4供应商有下列情形之一的，磋商保证金将不予退还： </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（1）供应商在提交响应文件截止时间后撤回响应文件的；</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（2）供应商在响应文件中提供虚假材料的；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（3）除因不可抗力或者磋商文件认可的情形以外，成交供应商不与采购人签订合同的；</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（4）供应商与采购人、其他供应商或者采购代理机构恶意串通的；</w:t>
      </w:r>
    </w:p>
    <w:p>
      <w:pPr>
        <w:spacing w:line="360" w:lineRule="auto"/>
        <w:ind w:left="420" w:leftChars="200" w:firstLine="420" w:firstLineChars="200"/>
        <w:rPr>
          <w:rFonts w:ascii="宋体" w:hAnsi="宋体" w:cs="宋体"/>
          <w:color w:val="auto"/>
          <w:szCs w:val="21"/>
          <w:highlight w:val="none"/>
        </w:rPr>
      </w:pPr>
      <w:r>
        <w:rPr>
          <w:rFonts w:hint="eastAsia" w:ascii="宋体" w:hAnsi="宋体" w:cs="宋体"/>
          <w:color w:val="auto"/>
          <w:szCs w:val="21"/>
          <w:highlight w:val="none"/>
        </w:rPr>
        <w:t>（5）磋商文件规定的其他情形。</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18.响应文件编制的要求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18.1供应商应按本磋商文件规定的格式和顺序编制、装订响应文件并标注页码，响应文件内容</w:t>
      </w:r>
      <w:r>
        <w:rPr>
          <w:rFonts w:hint="eastAsia" w:ascii="宋体" w:hAnsi="宋体" w:cs="宋体"/>
          <w:color w:val="auto"/>
          <w:spacing w:val="-6"/>
          <w:szCs w:val="21"/>
          <w:highlight w:val="none"/>
        </w:rPr>
        <w:t>不完整、编排混乱导致响应文件被误读、漏读或者查找不到相关内容的，</w:t>
      </w:r>
      <w:r>
        <w:rPr>
          <w:rFonts w:hint="eastAsia" w:ascii="宋体" w:hAnsi="宋体"/>
          <w:color w:val="auto"/>
          <w:highlight w:val="none"/>
        </w:rPr>
        <w:t>由此引发的</w:t>
      </w:r>
      <w:r>
        <w:rPr>
          <w:rFonts w:hint="eastAsia" w:ascii="宋体" w:hAnsi="宋体" w:cs="宋体"/>
          <w:color w:val="auto"/>
          <w:spacing w:val="-6"/>
          <w:szCs w:val="21"/>
          <w:highlight w:val="none"/>
        </w:rPr>
        <w:t>后果由供应商承担。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18.2响应文件应按资格证明文件、报价商务技术文件分别编制，资格证明文件、报价商务技术文件按顺序合并装订成册。响应文件正本一份，副本份数详见“供应商须知前附表”，响应文件的封面应注明“正本”、“副本”字样，提供响应文件正、副本数量不足的将按无效响应处理。由于响应文件装订松散而造成的丢失或者其他情况导致的不利后果由供应商自行承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18.3响应文件的正本应打印或者用不褪色的墨水填写，响应文件正本除本“供应商须知”中规定的可提供复印件外均须提供原件，副本可为正本签字、盖章后的复印件，当副本和正本不一致时，以正本为准。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18.4响应文件须由供应商在规定位置盖公章并由法定代表人或者其委托代理人签字，否则其响应文件按无效响应处理。骑缝盖公章不视为在规定位置盖章。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18.5响应文件中标注的供应商名称应与营业执照（事业单位法人证书、执业许可证、自然人身份证）及公章一致，否则其响应文件按无效响应处理。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18.6响应文件应尽量避免涂改、行间插字或者删除。如果出现上述情况，改动之处应由供应商的法定代表人或者其委托代理人签字或者加盖公章。响应文件因涂改、行间插字或者删除导致字迹潦草或者表达不清所引起的后果由供应商承担。</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19.响应文件的密封和标记</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19.1响应文件正、副本全部装入一个或者多个包封袋/箱（响应文件的补充、修改可另行单独递交）中并加以密封，</w:t>
      </w:r>
      <w:r>
        <w:rPr>
          <w:rFonts w:hint="eastAsia" w:ascii="宋体" w:hAnsi="宋体" w:cs="宋体"/>
          <w:b/>
          <w:color w:val="auto"/>
          <w:szCs w:val="21"/>
          <w:highlight w:val="none"/>
        </w:rPr>
        <w:t>包封袋/箱上</w:t>
      </w:r>
      <w:r>
        <w:rPr>
          <w:rFonts w:hint="eastAsia" w:ascii="宋体" w:hAnsi="宋体" w:cs="宋体"/>
          <w:color w:val="auto"/>
          <w:szCs w:val="21"/>
          <w:highlight w:val="none"/>
        </w:rPr>
        <w:t>必须加盖供应商公章或者</w:t>
      </w:r>
      <w:r>
        <w:rPr>
          <w:rFonts w:hint="eastAsia" w:ascii="宋体" w:hAnsi="宋体" w:cs="宋体"/>
          <w:color w:val="auto"/>
          <w:highlight w:val="none"/>
        </w:rPr>
        <w:t>法定代表人签字</w:t>
      </w:r>
      <w:r>
        <w:rPr>
          <w:rFonts w:hint="eastAsia" w:ascii="宋体" w:hAnsi="宋体" w:cs="宋体"/>
          <w:color w:val="auto"/>
          <w:szCs w:val="21"/>
          <w:highlight w:val="none"/>
        </w:rPr>
        <w:t>或者其委托代理人签字。</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19.2响应文件外层包装封面上应标记“项目名称、项目编号、供应商名称、所竞分标、首次响应文件提交截止时间前不得启封”字样。</w:t>
      </w:r>
    </w:p>
    <w:p>
      <w:pPr>
        <w:pStyle w:val="10"/>
        <w:ind w:firstLine="420" w:firstLineChars="200"/>
        <w:rPr>
          <w:rFonts w:ascii="宋体" w:hAnsi="宋体" w:cs="宋体"/>
          <w:color w:val="auto"/>
          <w:szCs w:val="21"/>
          <w:highlight w:val="none"/>
        </w:rPr>
      </w:pPr>
      <w:r>
        <w:rPr>
          <w:rFonts w:hint="eastAsia" w:ascii="宋体" w:hAnsi="宋体" w:cs="宋体"/>
          <w:color w:val="auto"/>
          <w:szCs w:val="21"/>
          <w:highlight w:val="none"/>
        </w:rPr>
        <w:t>19.3</w:t>
      </w:r>
      <w:r>
        <w:rPr>
          <w:rFonts w:hint="eastAsia"/>
          <w:color w:val="auto"/>
          <w:highlight w:val="none"/>
        </w:rPr>
        <w:t>响应文件的密封</w:t>
      </w:r>
      <w:r>
        <w:rPr>
          <w:rFonts w:hint="eastAsia" w:ascii="宋体" w:hAnsi="宋体" w:cs="宋体"/>
          <w:color w:val="auto"/>
          <w:szCs w:val="21"/>
          <w:highlight w:val="none"/>
        </w:rPr>
        <w:t>以不露出响应文件为合格，未按规定密封的响应文件将被拒收。</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20.响应文件的提交</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20.1供应商必须在“供应商须知前附表”规定的时间和地点提交响应文件。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20.2采购代理机构工作人员收到响应文件后，应当如实记载响应文件的密封情况。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20.3在</w:t>
      </w:r>
      <w:r>
        <w:rPr>
          <w:rFonts w:hint="eastAsia" w:ascii="宋体" w:hAnsi="宋体"/>
          <w:color w:val="auto"/>
          <w:szCs w:val="21"/>
          <w:highlight w:val="none"/>
        </w:rPr>
        <w:t>首次响应文件提交截止时间</w:t>
      </w:r>
      <w:r>
        <w:rPr>
          <w:rFonts w:hint="eastAsia" w:ascii="宋体" w:hAnsi="宋体" w:cs="宋体"/>
          <w:color w:val="auto"/>
          <w:szCs w:val="21"/>
          <w:highlight w:val="none"/>
        </w:rPr>
        <w:t>后送达的或者不符合本须知正文第1</w:t>
      </w:r>
      <w:r>
        <w:rPr>
          <w:rFonts w:ascii="宋体" w:hAnsi="宋体" w:cs="宋体"/>
          <w:color w:val="auto"/>
          <w:szCs w:val="21"/>
          <w:highlight w:val="none"/>
        </w:rPr>
        <w:t>9.3</w:t>
      </w:r>
      <w:r>
        <w:rPr>
          <w:rFonts w:hint="eastAsia" w:ascii="宋体" w:hAnsi="宋体" w:cs="宋体"/>
          <w:color w:val="auto"/>
          <w:szCs w:val="21"/>
          <w:highlight w:val="none"/>
        </w:rPr>
        <w:t>条的响应文件为无效文件，采购人或者采购代理机构应当拒收。</w:t>
      </w:r>
    </w:p>
    <w:p>
      <w:pPr>
        <w:pStyle w:val="9"/>
        <w:ind w:firstLine="420" w:firstLineChars="200"/>
        <w:rPr>
          <w:rFonts w:ascii="宋体" w:hAnsi="宋体" w:cs="宋体"/>
          <w:bCs/>
          <w:color w:val="auto"/>
          <w:highlight w:val="none"/>
        </w:rPr>
      </w:pPr>
      <w:r>
        <w:rPr>
          <w:rFonts w:hint="eastAsia" w:ascii="宋体" w:hAnsi="宋体" w:cs="宋体"/>
          <w:color w:val="auto"/>
          <w:szCs w:val="21"/>
          <w:highlight w:val="none"/>
        </w:rPr>
        <w:t>20.4</w:t>
      </w:r>
      <w:r>
        <w:rPr>
          <w:rFonts w:hint="eastAsia" w:ascii="宋体" w:hAnsi="宋体" w:cs="宋体"/>
          <w:bCs/>
          <w:color w:val="auto"/>
          <w:szCs w:val="21"/>
          <w:highlight w:val="none"/>
        </w:rPr>
        <w:t>供应商递交响应文件时，请同时单独递交响应文件签收回执（不用密封包装，按第五章“响应文件格式”提供的“响应文件签收回执” 的要求填写）。</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21.首次响应文件的补充、修改与撤回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在首次响应文件提交截止时间前，可以对所提交的响应文件进行补充、修改或者撤回，并书面通知采购人、采购代理机构。补充、修改的内容作为响应文件的组成部分。补充、修改的内容与响应文件不一致的，以补充、修改的内容为准。</w:t>
      </w:r>
    </w:p>
    <w:p>
      <w:pPr>
        <w:spacing w:line="360" w:lineRule="auto"/>
        <w:ind w:firstLine="482" w:firstLineChars="200"/>
        <w:rPr>
          <w:rFonts w:ascii="黑体" w:hAnsi="黑体" w:eastAsia="黑体" w:cs="宋体"/>
          <w:b/>
          <w:bCs/>
          <w:color w:val="auto"/>
          <w:sz w:val="24"/>
          <w:highlight w:val="none"/>
        </w:rPr>
      </w:pPr>
      <w:bookmarkStart w:id="33" w:name="_Hlk45702405"/>
      <w:r>
        <w:rPr>
          <w:rFonts w:hint="eastAsia" w:ascii="黑体" w:hAnsi="黑体" w:eastAsia="黑体" w:cs="宋体"/>
          <w:b/>
          <w:bCs/>
          <w:color w:val="auto"/>
          <w:sz w:val="24"/>
          <w:highlight w:val="none"/>
        </w:rPr>
        <w:t>22. 首次响应文件的退回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在首次响应文件提交截止时间止提交响应文件的供应商不足3家时，应当由供应商签字领回响应文件，除此之外采购人和采购代理机构对已提交的响应文件概不退回。</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23. 截止时间后的撤回</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供应商在首次响应文件提交截止时间后向采购人、采购代理机构书面申请撤回响应文件的，将根据本须知正文17.4的规定不予退还其磋商保证金。</w:t>
      </w:r>
    </w:p>
    <w:bookmarkEnd w:id="33"/>
    <w:p>
      <w:pPr>
        <w:spacing w:line="360" w:lineRule="auto"/>
        <w:rPr>
          <w:rFonts w:ascii="宋体" w:hAnsi="宋体"/>
          <w:color w:val="auto"/>
          <w:szCs w:val="21"/>
          <w:highlight w:val="none"/>
        </w:rPr>
      </w:pPr>
    </w:p>
    <w:p>
      <w:pPr>
        <w:spacing w:line="360" w:lineRule="auto"/>
        <w:ind w:left="420" w:firstLine="643" w:firstLineChars="200"/>
        <w:jc w:val="center"/>
        <w:rPr>
          <w:rFonts w:ascii="宋体" w:hAnsi="宋体"/>
          <w:b/>
          <w:bCs/>
          <w:color w:val="auto"/>
          <w:sz w:val="32"/>
          <w:szCs w:val="32"/>
          <w:highlight w:val="none"/>
        </w:rPr>
      </w:pPr>
      <w:r>
        <w:rPr>
          <w:rFonts w:hint="eastAsia" w:ascii="宋体" w:hAnsi="宋体"/>
          <w:b/>
          <w:bCs/>
          <w:color w:val="auto"/>
          <w:sz w:val="32"/>
          <w:szCs w:val="32"/>
          <w:highlight w:val="none"/>
        </w:rPr>
        <w:t>四、评审及磋商</w:t>
      </w:r>
    </w:p>
    <w:p>
      <w:pPr>
        <w:spacing w:line="360" w:lineRule="auto"/>
        <w:ind w:left="420" w:firstLine="420"/>
        <w:rPr>
          <w:rFonts w:ascii="宋体" w:hAnsi="宋体"/>
          <w:color w:val="auto"/>
          <w:szCs w:val="21"/>
          <w:highlight w:val="none"/>
        </w:rPr>
      </w:pP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24.磋商小组成立</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24.1磋商小组由采购人代表和评审专家共3人以上单数组成，具体人数见“供应商须知前附表”，其中评审专家人数不得少于磋商小组成员总数的2/3。采购人代表不得以评审专家身份参加本部门或者本单位采购项目的评审。采购代理机构人员不得参加本机构代理的采购项目的评审。达到公开招标数额标准的货物或者服务采购项目，或者达到公开招标规模标准的政府采购工程，经批准采用竞争性磋商方式采购的，磋商小组由5人以上单数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24.2评审专家应当从政府采购评审专家库内相关专业的专家名单中随机抽取。市场竞争不充分的科研项目，以及需要扶持的科技成果转化项目，以及情况特殊、通过随机方式难以确定合适的评审专家的项目，经主管预算单位同意，可以自行选定评审专家。</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25.</w:t>
      </w:r>
      <w:r>
        <w:rPr>
          <w:rFonts w:hint="eastAsia" w:ascii="黑体" w:hAnsi="黑体" w:eastAsia="黑体" w:cs="宋体"/>
          <w:b/>
          <w:bCs/>
          <w:color w:val="auto"/>
          <w:sz w:val="24"/>
          <w:highlight w:val="none"/>
        </w:rPr>
        <w:t>首次响应文件的开启</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首次响应文件由磋商小组或者采购代理机构在“供应商须知前附表”规定的时间开启。</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26</w:t>
      </w:r>
      <w:r>
        <w:rPr>
          <w:rFonts w:hint="eastAsia" w:ascii="黑体" w:hAnsi="黑体" w:eastAsia="黑体" w:cs="宋体"/>
          <w:b/>
          <w:bCs/>
          <w:color w:val="auto"/>
          <w:sz w:val="24"/>
          <w:highlight w:val="none"/>
        </w:rPr>
        <w:t>.评审程序、评审方法和评审标准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6</w:t>
      </w:r>
      <w:r>
        <w:rPr>
          <w:rFonts w:hint="eastAsia" w:ascii="宋体" w:hAnsi="宋体" w:cs="宋体"/>
          <w:color w:val="auto"/>
          <w:szCs w:val="21"/>
          <w:highlight w:val="none"/>
        </w:rPr>
        <w:t>.1本项目的评审方法为综合评分法。</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26.2</w:t>
      </w:r>
      <w:r>
        <w:rPr>
          <w:rFonts w:hint="eastAsia" w:ascii="宋体" w:hAnsi="宋体" w:cs="宋体"/>
          <w:color w:val="auto"/>
          <w:szCs w:val="21"/>
          <w:highlight w:val="none"/>
        </w:rPr>
        <w:t>磋商小组</w:t>
      </w:r>
      <w:r>
        <w:rPr>
          <w:rFonts w:ascii="宋体" w:hAnsi="宋体" w:cs="宋体"/>
          <w:color w:val="auto"/>
          <w:szCs w:val="21"/>
          <w:highlight w:val="none"/>
        </w:rPr>
        <w:t>按照</w:t>
      </w:r>
      <w:r>
        <w:rPr>
          <w:rFonts w:hint="eastAsia" w:ascii="宋体" w:hAnsi="宋体" w:cs="宋体"/>
          <w:color w:val="auto"/>
          <w:szCs w:val="21"/>
          <w:highlight w:val="none"/>
        </w:rPr>
        <w:t>“第四章 评审方法及定标标准”</w:t>
      </w:r>
      <w:r>
        <w:rPr>
          <w:rFonts w:ascii="宋体" w:hAnsi="宋体" w:cs="宋体"/>
          <w:color w:val="auto"/>
          <w:szCs w:val="21"/>
          <w:highlight w:val="none"/>
        </w:rPr>
        <w:t>规定的方法、评审因素、标准和程序对</w:t>
      </w:r>
      <w:r>
        <w:rPr>
          <w:rFonts w:hint="eastAsia" w:ascii="宋体" w:hAnsi="宋体" w:cs="宋体"/>
          <w:color w:val="auto"/>
          <w:szCs w:val="21"/>
          <w:highlight w:val="none"/>
        </w:rPr>
        <w:t>响应</w:t>
      </w:r>
      <w:r>
        <w:rPr>
          <w:rFonts w:ascii="宋体" w:hAnsi="宋体" w:cs="宋体"/>
          <w:color w:val="auto"/>
          <w:szCs w:val="21"/>
          <w:highlight w:val="none"/>
        </w:rPr>
        <w:t>文件进行评审。</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27</w:t>
      </w:r>
      <w:r>
        <w:rPr>
          <w:rFonts w:hint="eastAsia" w:ascii="黑体" w:hAnsi="黑体" w:eastAsia="黑体" w:cs="宋体"/>
          <w:b/>
          <w:bCs/>
          <w:color w:val="auto"/>
          <w:sz w:val="24"/>
          <w:highlight w:val="none"/>
        </w:rPr>
        <w:t>.确定成交供应商及结果公告</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27</w:t>
      </w:r>
      <w:r>
        <w:rPr>
          <w:rFonts w:hint="eastAsia" w:ascii="宋体" w:hAnsi="宋体" w:cs="宋体"/>
          <w:color w:val="auto"/>
          <w:szCs w:val="21"/>
          <w:highlight w:val="none"/>
        </w:rPr>
        <w:t>.1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27</w:t>
      </w:r>
      <w:r>
        <w:rPr>
          <w:rFonts w:hint="eastAsia" w:ascii="宋体" w:hAnsi="宋体" w:cs="宋体"/>
          <w:color w:val="auto"/>
          <w:szCs w:val="21"/>
          <w:highlight w:val="none"/>
        </w:rPr>
        <w:t>.2采购代理机构应当在</w:t>
      </w:r>
      <w:r>
        <w:rPr>
          <w:rFonts w:hint="eastAsia" w:ascii="宋体" w:hAnsi="宋体" w:cs="宋体"/>
          <w:color w:val="auto"/>
          <w:kern w:val="0"/>
          <w:szCs w:val="21"/>
          <w:highlight w:val="none"/>
        </w:rPr>
        <w:t>成交</w:t>
      </w:r>
      <w:r>
        <w:rPr>
          <w:rFonts w:hint="eastAsia" w:ascii="宋体" w:hAnsi="宋体" w:cs="宋体"/>
          <w:color w:val="auto"/>
          <w:szCs w:val="21"/>
          <w:highlight w:val="none"/>
        </w:rPr>
        <w:t>供应商确定后2个工作日内，在省级以上财政部门指定的媒体上公告成交结果，同时向成交供应商发出成交通知书。采购人或者采购代理机构发出成交通知书前，应当对成交供应商信用进行查询，对列入失信被执行人、重大税收违法案件当事人名单、政府采购严重违法失信行为记录名单及其他不符合《中华人民共和国政府采购法》第二十二条规定条件的供应商，取消其成交资格，并依法确定排名第二的成交候选人为成交供应商。排名第二的成交候选人因上述规定的同样原因被取消成交资格的，采购人可以依法确定排名第三的成交候选人为成交供应商，以此类推。以上信息查询记录及相关证据与磋商文件一并保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w:t>
      </w:r>
      <w:r>
        <w:rPr>
          <w:rFonts w:ascii="宋体" w:hAnsi="宋体" w:cs="宋体"/>
          <w:color w:val="auto"/>
          <w:szCs w:val="21"/>
          <w:highlight w:val="none"/>
        </w:rPr>
        <w:t>7.3</w:t>
      </w:r>
      <w:r>
        <w:rPr>
          <w:rFonts w:hint="eastAsia" w:ascii="宋体" w:hAnsi="宋体" w:cs="宋体"/>
          <w:color w:val="auto"/>
          <w:szCs w:val="21"/>
          <w:highlight w:val="none"/>
        </w:rPr>
        <w:t xml:space="preserve"> 采购人、采购代理机构认为供应商对采购过程、成交结果提出的质疑成立且影响或者可能影响成交结果的，合格供应商符合法定数量时，可以从合格的成交候选人中另行确定成交供应商的，应当依法另行确定成交供应商；否则应当重新开展采购活动。</w:t>
      </w:r>
    </w:p>
    <w:p>
      <w:pPr>
        <w:spacing w:line="360" w:lineRule="auto"/>
        <w:ind w:firstLine="420" w:firstLineChars="200"/>
        <w:rPr>
          <w:rFonts w:ascii="宋体" w:hAnsi="宋体" w:cs="宋体"/>
          <w:color w:val="auto"/>
          <w:szCs w:val="21"/>
          <w:highlight w:val="none"/>
        </w:rPr>
      </w:pPr>
      <w:r>
        <w:rPr>
          <w:rFonts w:ascii="宋体" w:hAnsi="宋体"/>
          <w:bCs/>
          <w:color w:val="auto"/>
          <w:szCs w:val="21"/>
          <w:highlight w:val="none"/>
        </w:rPr>
        <w:t>27.4</w:t>
      </w:r>
      <w:r>
        <w:rPr>
          <w:rFonts w:hint="eastAsia" w:ascii="宋体" w:hAnsi="宋体"/>
          <w:bCs/>
          <w:color w:val="auto"/>
          <w:szCs w:val="21"/>
          <w:highlight w:val="none"/>
        </w:rPr>
        <w:t>排名第一的成交候选人放弃成交、因不可抗力提出不能履行合同，采购人可以按照评审报告推荐的成交候选人名单排序，依法确定下一候选人为成交</w:t>
      </w:r>
      <w:r>
        <w:rPr>
          <w:rFonts w:hint="eastAsia" w:ascii="宋体" w:hAnsi="宋体" w:cs="宋体"/>
          <w:color w:val="auto"/>
          <w:szCs w:val="21"/>
          <w:highlight w:val="none"/>
        </w:rPr>
        <w:t>供应商</w:t>
      </w:r>
      <w:r>
        <w:rPr>
          <w:rFonts w:hint="eastAsia" w:ascii="宋体" w:hAnsi="宋体"/>
          <w:bCs/>
          <w:color w:val="auto"/>
          <w:szCs w:val="21"/>
          <w:highlight w:val="none"/>
        </w:rPr>
        <w:t>，也可以重新开展政府采购活动。</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28</w:t>
      </w:r>
      <w:r>
        <w:rPr>
          <w:rFonts w:hint="eastAsia" w:ascii="黑体" w:hAnsi="黑体" w:eastAsia="黑体" w:cs="宋体"/>
          <w:b/>
          <w:bCs/>
          <w:color w:val="auto"/>
          <w:sz w:val="24"/>
          <w:highlight w:val="none"/>
        </w:rPr>
        <w:t>.履约保证金</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28</w:t>
      </w:r>
      <w:r>
        <w:rPr>
          <w:rFonts w:hint="eastAsia" w:ascii="宋体" w:hAnsi="宋体" w:cs="宋体"/>
          <w:color w:val="auto"/>
          <w:szCs w:val="21"/>
          <w:highlight w:val="none"/>
        </w:rPr>
        <w:t>.1履约保证金详见 “供应商须知前附表”。</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29</w:t>
      </w:r>
      <w:r>
        <w:rPr>
          <w:rFonts w:hint="eastAsia" w:ascii="黑体" w:hAnsi="黑体" w:eastAsia="黑体" w:cs="宋体"/>
          <w:b/>
          <w:bCs/>
          <w:color w:val="auto"/>
          <w:sz w:val="24"/>
          <w:highlight w:val="none"/>
        </w:rPr>
        <w:t>.签订合同</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29.1</w:t>
      </w:r>
      <w:r>
        <w:rPr>
          <w:rFonts w:hint="eastAsia" w:ascii="宋体" w:hAnsi="宋体" w:cs="宋体"/>
          <w:color w:val="auto"/>
          <w:szCs w:val="21"/>
          <w:highlight w:val="none"/>
        </w:rPr>
        <w:t>成交供应商在收到成交通知书后，应当在签订合同时向采购人出示相关证明材料，具体内容详见 “供应商须知前附表”，经采购人核验合格后方可签订合同。</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29</w:t>
      </w:r>
      <w:r>
        <w:rPr>
          <w:rFonts w:hint="eastAsia" w:ascii="宋体" w:hAnsi="宋体" w:cs="宋体"/>
          <w:color w:val="auto"/>
          <w:szCs w:val="21"/>
          <w:highlight w:val="none"/>
        </w:rPr>
        <w:t>.2 签订合同时间：按成交通知书规定的时间与采购人签订政府采购合同。</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29</w:t>
      </w:r>
      <w:r>
        <w:rPr>
          <w:rFonts w:hint="eastAsia" w:ascii="宋体" w:hAnsi="宋体" w:cs="宋体"/>
          <w:color w:val="auto"/>
          <w:szCs w:val="21"/>
          <w:highlight w:val="none"/>
        </w:rPr>
        <w:t>.3成交供应商拒绝与采购人签订合同的，采购人可以按照评审报告推荐的成交候选人名单排序，依法确定下一候选人为成交供应商，也可以重新开展政府采购活动。拒绝签订政府采购合同的成交供应商不得参加对该合同项重新开展的采购活动。</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30</w:t>
      </w:r>
      <w:r>
        <w:rPr>
          <w:rFonts w:hint="eastAsia" w:ascii="黑体" w:hAnsi="黑体" w:eastAsia="黑体" w:cs="宋体"/>
          <w:b/>
          <w:bCs/>
          <w:color w:val="auto"/>
          <w:sz w:val="24"/>
          <w:highlight w:val="none"/>
        </w:rPr>
        <w:t>.政府采购合同公告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31</w:t>
      </w:r>
      <w:r>
        <w:rPr>
          <w:rFonts w:hint="eastAsia" w:ascii="黑体" w:hAnsi="黑体" w:eastAsia="黑体" w:cs="宋体"/>
          <w:b/>
          <w:bCs/>
          <w:color w:val="auto"/>
          <w:sz w:val="24"/>
          <w:highlight w:val="none"/>
        </w:rPr>
        <w:t>. 询问、质疑和投诉</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w:t>
      </w:r>
      <w:r>
        <w:rPr>
          <w:rFonts w:ascii="宋体" w:hAnsi="宋体" w:cs="宋体"/>
          <w:color w:val="auto"/>
          <w:highlight w:val="none"/>
        </w:rPr>
        <w:t>1</w:t>
      </w:r>
      <w:r>
        <w:rPr>
          <w:rFonts w:hint="eastAsia" w:ascii="宋体" w:hAnsi="宋体" w:cs="宋体"/>
          <w:color w:val="auto"/>
          <w:highlight w:val="none"/>
        </w:rPr>
        <w:t>.1供应商对政府采购活动事项有疑问的，可以向采购人、采购代理机构提出询问，采购人或者采购代理机构应当在3个工作日内对供应商依法提出的询问作出答复。</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w:t>
      </w:r>
      <w:r>
        <w:rPr>
          <w:rFonts w:ascii="宋体" w:hAnsi="宋体" w:cs="宋体"/>
          <w:color w:val="auto"/>
          <w:highlight w:val="none"/>
        </w:rPr>
        <w:t>1</w:t>
      </w:r>
      <w:r>
        <w:rPr>
          <w:rFonts w:hint="eastAsia" w:ascii="宋体" w:hAnsi="宋体" w:cs="宋体"/>
          <w:color w:val="auto"/>
          <w:highlight w:val="none"/>
        </w:rPr>
        <w:t>.2供应商认为磋商文件、采购过程或者成交结果使自己的合法权益受到损害的，应当在知道或者应知其权益受到损害之日起7个工作日内，以书面形式向采购人、采购代理机构提出质疑，</w:t>
      </w:r>
      <w:r>
        <w:rPr>
          <w:rFonts w:ascii="宋体" w:hAnsi="宋体" w:cs="Arial"/>
          <w:color w:val="auto"/>
          <w:highlight w:val="none"/>
          <w:shd w:val="clear" w:color="auto" w:fill="FFFFFF"/>
        </w:rPr>
        <w:t>接收质疑函的方式、联系部门、联系电话和通讯地址等信息</w:t>
      </w:r>
      <w:r>
        <w:rPr>
          <w:rFonts w:hint="eastAsia" w:ascii="宋体" w:hAnsi="宋体" w:cs="Arial"/>
          <w:color w:val="auto"/>
          <w:highlight w:val="none"/>
          <w:shd w:val="clear" w:color="auto" w:fill="FFFFFF"/>
        </w:rPr>
        <w:t>详见</w:t>
      </w:r>
      <w:r>
        <w:rPr>
          <w:rFonts w:hint="eastAsia" w:ascii="宋体" w:hAnsi="宋体" w:cs="宋体"/>
          <w:color w:val="auto"/>
          <w:szCs w:val="21"/>
          <w:highlight w:val="none"/>
        </w:rPr>
        <w:t>“供应商须知前附表”</w:t>
      </w:r>
      <w:r>
        <w:rPr>
          <w:rFonts w:hint="eastAsia" w:ascii="宋体" w:hAnsi="宋体" w:cs="宋体"/>
          <w:color w:val="auto"/>
          <w:highlight w:val="none"/>
        </w:rPr>
        <w:t>。具体质疑起算时间如下：</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（1）对可以质疑的磋商文件提出质疑的，为收到磋商文件之日或者</w:t>
      </w:r>
      <w:r>
        <w:rPr>
          <w:rFonts w:hint="eastAsia" w:ascii="宋体" w:hAnsi="宋体"/>
          <w:color w:val="auto"/>
          <w:highlight w:val="none"/>
        </w:rPr>
        <w:t>竞争性磋商公告期限届满之日</w:t>
      </w:r>
      <w:r>
        <w:rPr>
          <w:rFonts w:hint="eastAsia" w:ascii="宋体" w:hAnsi="宋体" w:cs="宋体"/>
          <w:color w:val="auto"/>
          <w:highlight w:val="none"/>
        </w:rPr>
        <w:t>；</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（2）对采购过程提出质疑的，为各采购程序环节结束之日；</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（3）对成交结果提出质疑的，为成交结果公告期限届满之日。</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w:t>
      </w:r>
      <w:r>
        <w:rPr>
          <w:rFonts w:ascii="宋体" w:hAnsi="宋体" w:cs="宋体"/>
          <w:color w:val="auto"/>
          <w:highlight w:val="none"/>
        </w:rPr>
        <w:t>1</w:t>
      </w:r>
      <w:r>
        <w:rPr>
          <w:rFonts w:hint="eastAsia" w:ascii="宋体" w:hAnsi="宋体" w:cs="宋体"/>
          <w:color w:val="auto"/>
          <w:highlight w:val="none"/>
        </w:rPr>
        <w:t>.3供应商提出的询问或者质疑超出采购人对采购代理机构委托授权范围的，采购代理机构应当告知供应商向采购人提出。政府采购评审专家应当配合采购人或者采购代理机构答复供应商的询问和质疑。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w:t>
      </w:r>
      <w:r>
        <w:rPr>
          <w:rFonts w:ascii="宋体" w:hAnsi="宋体" w:cs="宋体"/>
          <w:color w:val="auto"/>
          <w:highlight w:val="none"/>
        </w:rPr>
        <w:t>1</w:t>
      </w:r>
      <w:r>
        <w:rPr>
          <w:rFonts w:hint="eastAsia" w:ascii="宋体" w:hAnsi="宋体" w:cs="宋体"/>
          <w:color w:val="auto"/>
          <w:highlight w:val="none"/>
        </w:rPr>
        <w:t>.4 供应商提出质疑应当提交质疑函和必要的证明材料，针对同一采购程序环节的质疑必须在法定质疑期内一次性提出。质疑函应当包括下列内容</w:t>
      </w:r>
      <w:r>
        <w:rPr>
          <w:rFonts w:hint="eastAsia" w:hAnsi="宋体"/>
          <w:bCs/>
          <w:color w:val="auto"/>
          <w:highlight w:val="none"/>
        </w:rPr>
        <w:t>（质疑函格式后附）</w:t>
      </w:r>
      <w:r>
        <w:rPr>
          <w:rFonts w:hint="eastAsia" w:ascii="宋体" w:hAnsi="宋体" w:cs="宋体"/>
          <w:color w:val="auto"/>
          <w:highlight w:val="none"/>
        </w:rPr>
        <w:t>：</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（1）供应商的姓名或者名称、地址、邮编、联系人及联系电话；</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（2）质疑项目的名称、编号；</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（3）具体、明确的质疑事项和与质疑事项相关的请求；</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（4）事实依据；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（5）必要的法律依据；</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（6）提出质疑的日期。</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供应商为自然人的，应当由本人签字；供应商为法人或者其他组织的，应当由法定代表人、主要负责人，或者其委托代理人签字或者盖章，并加盖公章。</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w:t>
      </w:r>
      <w:r>
        <w:rPr>
          <w:rFonts w:ascii="宋体" w:hAnsi="宋体" w:cs="宋体"/>
          <w:color w:val="auto"/>
          <w:highlight w:val="none"/>
        </w:rPr>
        <w:t>1.5</w:t>
      </w:r>
      <w:r>
        <w:rPr>
          <w:rFonts w:hint="eastAsia" w:ascii="宋体" w:hAnsi="宋体" w:cs="宋体"/>
          <w:color w:val="auto"/>
          <w:highlight w:val="none"/>
        </w:rPr>
        <w:t>采购人、采购代理机构认为供应商质疑不成立，或者成立但未对成交结果构成影响的，继续开展采购活动；认为供应商质疑成立且影响或者可能影响成交结果的，按照下列情况处理：</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（一）对采购文件提出的质疑，依法通过澄清或者修改可以继续开展采购活动的，澄清或者修改采购文件后继续开展采购活动；否则应当修改采购文件后重新开展采购活动。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（二）对采购过程或者成交结果提出的质疑，合格供应商符合法定数量时，可以从合格的成交候选人中另行确定成交供应商的，应当依法另行确定成交供应商；否则应当重新开展采购活动。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质疑答复导致成交结果改变的，采购人或者采购代理机构应当将有关情况书面报告本级财政部门。</w:t>
      </w:r>
    </w:p>
    <w:p>
      <w:pPr>
        <w:spacing w:line="360" w:lineRule="auto"/>
        <w:ind w:firstLine="420" w:firstLineChars="200"/>
        <w:rPr>
          <w:rFonts w:ascii="宋体" w:hAnsi="宋体" w:cs="宋体"/>
          <w:color w:val="auto"/>
          <w:szCs w:val="21"/>
          <w:highlight w:val="none"/>
        </w:rPr>
      </w:pPr>
      <w:r>
        <w:rPr>
          <w:rFonts w:ascii="宋体" w:hAnsi="宋体" w:cs="宋体"/>
          <w:color w:val="auto"/>
          <w:highlight w:val="none"/>
        </w:rPr>
        <w:t>31</w:t>
      </w:r>
      <w:r>
        <w:rPr>
          <w:rFonts w:hint="eastAsia" w:ascii="宋体" w:hAnsi="宋体" w:cs="宋体"/>
          <w:color w:val="auto"/>
          <w:highlight w:val="none"/>
        </w:rPr>
        <w:t>.</w:t>
      </w:r>
      <w:r>
        <w:rPr>
          <w:rFonts w:ascii="宋体" w:hAnsi="宋体" w:cs="宋体"/>
          <w:color w:val="auto"/>
          <w:highlight w:val="none"/>
        </w:rPr>
        <w:t>6</w:t>
      </w:r>
      <w:r>
        <w:rPr>
          <w:rFonts w:hint="eastAsia" w:ascii="宋体" w:hAnsi="宋体" w:cs="宋体"/>
          <w:color w:val="auto"/>
          <w:highlight w:val="none"/>
        </w:rPr>
        <w:t>投诉的权利。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32</w:t>
      </w:r>
      <w:r>
        <w:rPr>
          <w:rFonts w:hint="eastAsia" w:ascii="黑体" w:hAnsi="黑体" w:eastAsia="黑体" w:cs="宋体"/>
          <w:b/>
          <w:bCs/>
          <w:color w:val="auto"/>
          <w:sz w:val="24"/>
          <w:highlight w:val="none"/>
        </w:rPr>
        <w:t>.其他内容</w:t>
      </w:r>
    </w:p>
    <w:p>
      <w:pPr>
        <w:tabs>
          <w:tab w:val="left" w:pos="2835"/>
        </w:tabs>
        <w:spacing w:line="360" w:lineRule="auto"/>
        <w:ind w:firstLine="420" w:firstLineChars="200"/>
        <w:rPr>
          <w:rFonts w:ascii="宋体" w:hAnsi="宋体" w:cs="宋体"/>
          <w:color w:val="auto"/>
          <w:highlight w:val="none"/>
        </w:rPr>
      </w:pPr>
      <w:r>
        <w:rPr>
          <w:rFonts w:ascii="宋体" w:hAnsi="宋体" w:cs="宋体"/>
          <w:color w:val="auto"/>
          <w:szCs w:val="21"/>
          <w:highlight w:val="none"/>
        </w:rPr>
        <w:t>32</w:t>
      </w:r>
      <w:r>
        <w:rPr>
          <w:rFonts w:hint="eastAsia" w:ascii="宋体" w:hAnsi="宋体" w:cs="宋体"/>
          <w:color w:val="auto"/>
          <w:szCs w:val="21"/>
          <w:highlight w:val="none"/>
        </w:rPr>
        <w:t>.1采购代理服务费收费标准及缴纳账户详见“供应商须知前附表”，供应商为联合体的，可以由联合体中的一方或者多方共同缴纳采购代理服务费。</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3</w:t>
      </w:r>
      <w:r>
        <w:rPr>
          <w:rFonts w:ascii="黑体" w:hAnsi="黑体" w:eastAsia="黑体" w:cs="宋体"/>
          <w:b/>
          <w:bCs/>
          <w:color w:val="auto"/>
          <w:sz w:val="24"/>
          <w:highlight w:val="none"/>
        </w:rPr>
        <w:t>3.需要补充的</w:t>
      </w:r>
      <w:r>
        <w:rPr>
          <w:rFonts w:hint="eastAsia" w:ascii="黑体" w:hAnsi="黑体" w:eastAsia="黑体" w:cs="宋体"/>
          <w:b/>
          <w:bCs/>
          <w:color w:val="auto"/>
          <w:sz w:val="24"/>
          <w:highlight w:val="none"/>
        </w:rPr>
        <w:t>其他</w:t>
      </w:r>
      <w:r>
        <w:rPr>
          <w:rFonts w:ascii="黑体" w:hAnsi="黑体" w:eastAsia="黑体" w:cs="宋体"/>
          <w:b/>
          <w:bCs/>
          <w:color w:val="auto"/>
          <w:sz w:val="24"/>
          <w:highlight w:val="none"/>
        </w:rPr>
        <w:t>内容</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w:t>
      </w:r>
      <w:r>
        <w:rPr>
          <w:rFonts w:ascii="宋体" w:hAnsi="宋体" w:cs="宋体"/>
          <w:color w:val="auto"/>
          <w:highlight w:val="none"/>
        </w:rPr>
        <w:t>3.1</w:t>
      </w:r>
      <w:r>
        <w:rPr>
          <w:rFonts w:hint="eastAsia" w:ascii="宋体" w:hAnsi="宋体" w:cs="宋体"/>
          <w:color w:val="auto"/>
          <w:highlight w:val="none"/>
        </w:rPr>
        <w:t>本磋商文件解释规则详见“供应商须知前附表”。</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33.2 其他事项详见“供应商须知前附表”。</w:t>
      </w:r>
    </w:p>
    <w:p>
      <w:pPr>
        <w:spacing w:line="360" w:lineRule="auto"/>
        <w:ind w:firstLine="420" w:firstLineChars="200"/>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9"/>
        <w:rPr>
          <w:rFonts w:ascii="宋体" w:hAnsi="宋体" w:cs="宋体"/>
          <w:color w:val="auto"/>
          <w:highlight w:val="none"/>
        </w:rPr>
      </w:pPr>
    </w:p>
    <w:p>
      <w:pPr>
        <w:pStyle w:val="3"/>
        <w:ind w:firstLine="883" w:firstLineChars="200"/>
        <w:jc w:val="center"/>
        <w:rPr>
          <w:rStyle w:val="41"/>
          <w:b/>
          <w:color w:val="auto"/>
          <w:highlight w:val="none"/>
        </w:rPr>
      </w:pPr>
      <w:bookmarkStart w:id="34" w:name="_Toc6303"/>
      <w:r>
        <w:rPr>
          <w:rStyle w:val="41"/>
          <w:rFonts w:hint="eastAsia"/>
          <w:b/>
          <w:color w:val="auto"/>
          <w:highlight w:val="none"/>
        </w:rPr>
        <w:t>第三章</w:t>
      </w:r>
      <w:r>
        <w:rPr>
          <w:rStyle w:val="41"/>
          <w:rFonts w:hint="eastAsia"/>
          <w:b/>
          <w:color w:val="auto"/>
          <w:highlight w:val="none"/>
          <w:lang w:val="en-US" w:eastAsia="zh-CN"/>
        </w:rPr>
        <w:t xml:space="preserve"> </w:t>
      </w:r>
      <w:r>
        <w:rPr>
          <w:rStyle w:val="41"/>
          <w:rFonts w:hint="eastAsia"/>
          <w:b/>
          <w:color w:val="auto"/>
          <w:highlight w:val="none"/>
        </w:rPr>
        <w:t>采购需求</w:t>
      </w:r>
      <w:bookmarkEnd w:id="26"/>
      <w:bookmarkEnd w:id="34"/>
    </w:p>
    <w:p>
      <w:pPr>
        <w:spacing w:line="440" w:lineRule="exact"/>
        <w:jc w:val="left"/>
        <w:rPr>
          <w:rFonts w:ascii="宋体" w:hAnsi="宋体" w:cs="宋体"/>
          <w:color w:val="auto"/>
          <w:szCs w:val="21"/>
          <w:highlight w:val="none"/>
        </w:rPr>
      </w:pPr>
      <w:bookmarkStart w:id="35" w:name="_Toc514340098"/>
    </w:p>
    <w:p>
      <w:pPr>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说明：</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.“实质性要求”是指磋商文件中已经指明不满足则响应文件按无效响应处理的条款，或者不能负偏离的条款，或者采购需求中带“▲”的条款。</w:t>
      </w:r>
    </w:p>
    <w:p>
      <w:pPr>
        <w:spacing w:line="360" w:lineRule="auto"/>
        <w:ind w:firstLine="420" w:firstLineChars="200"/>
        <w:jc w:val="left"/>
        <w:rPr>
          <w:rFonts w:ascii="宋体" w:hAnsi="宋体" w:cs="宋体"/>
          <w:b/>
          <w:bCs/>
          <w:color w:val="auto"/>
          <w:szCs w:val="21"/>
          <w:highlight w:val="none"/>
        </w:rPr>
      </w:pPr>
      <w:r>
        <w:rPr>
          <w:rFonts w:hint="eastAsia" w:ascii="宋体" w:hAnsi="宋体" w:cs="宋体"/>
          <w:color w:val="auto"/>
          <w:szCs w:val="21"/>
          <w:highlight w:val="none"/>
          <w:lang w:val="en-US" w:eastAsia="zh-CN"/>
        </w:rPr>
        <w:t>2</w:t>
      </w:r>
      <w:r>
        <w:rPr>
          <w:rFonts w:ascii="宋体" w:hAnsi="宋体" w:cs="宋体"/>
          <w:color w:val="auto"/>
          <w:szCs w:val="21"/>
          <w:highlight w:val="none"/>
        </w:rPr>
        <w:t>.</w:t>
      </w:r>
      <w:r>
        <w:rPr>
          <w:color w:val="auto"/>
          <w:highlight w:val="none"/>
        </w:rPr>
        <w:t>供应商必须自行为其磋商产品侵犯</w:t>
      </w:r>
      <w:r>
        <w:rPr>
          <w:rFonts w:hint="eastAsia"/>
          <w:color w:val="auto"/>
          <w:highlight w:val="none"/>
        </w:rPr>
        <w:t>他人的知识产权或者专利成果的行为</w:t>
      </w:r>
      <w:r>
        <w:rPr>
          <w:color w:val="auto"/>
          <w:highlight w:val="none"/>
        </w:rPr>
        <w:t>承担相应法律责任</w:t>
      </w:r>
      <w:r>
        <w:rPr>
          <w:rFonts w:hint="eastAsia"/>
          <w:color w:val="auto"/>
          <w:highlight w:val="none"/>
        </w:rPr>
        <w:t>。</w:t>
      </w:r>
    </w:p>
    <w:p>
      <w:pPr>
        <w:tabs>
          <w:tab w:val="left" w:pos="180"/>
          <w:tab w:val="left" w:pos="1620"/>
        </w:tabs>
        <w:spacing w:line="360" w:lineRule="auto"/>
        <w:ind w:firstLine="420" w:firstLineChars="200"/>
        <w:rPr>
          <w:rFonts w:ascii="宋体" w:hAnsi="宋体" w:cs="宋体"/>
          <w:color w:val="auto"/>
          <w:highlight w:val="none"/>
          <w:u w:val="single"/>
        </w:rPr>
      </w:pPr>
      <w:r>
        <w:rPr>
          <w:rFonts w:hint="eastAsia" w:ascii="宋体" w:hAnsi="宋体" w:cs="宋体"/>
          <w:color w:val="auto"/>
          <w:highlight w:val="none"/>
          <w:lang w:val="en-US" w:eastAsia="zh-CN"/>
        </w:rPr>
        <w:t>3</w:t>
      </w:r>
      <w:r>
        <w:rPr>
          <w:rFonts w:hint="eastAsia" w:ascii="宋体" w:hAnsi="宋体" w:cs="宋体"/>
          <w:color w:val="auto"/>
          <w:highlight w:val="none"/>
        </w:rPr>
        <w:t>.采购内容所属行业：</w:t>
      </w:r>
      <w:r>
        <w:rPr>
          <w:rFonts w:hint="eastAsia" w:ascii="宋体" w:hAnsi="宋体" w:cs="宋体"/>
          <w:color w:val="auto"/>
          <w:highlight w:val="none"/>
          <w:lang w:val="en-US" w:eastAsia="zh-CN"/>
        </w:rPr>
        <w:t>其他未列明行业 *</w:t>
      </w:r>
      <w:r>
        <w:rPr>
          <w:rFonts w:hint="eastAsia" w:ascii="宋体" w:hAnsi="宋体" w:cs="宋体"/>
          <w:color w:val="auto"/>
          <w:highlight w:val="none"/>
          <w:u w:val="single"/>
        </w:rPr>
        <w:t>（如有不同行业请一一列出。）</w:t>
      </w:r>
    </w:p>
    <w:p>
      <w:pPr>
        <w:pStyle w:val="12"/>
        <w:rPr>
          <w:rFonts w:ascii="宋体" w:hAnsi="宋体" w:eastAsia="宋体" w:cs="宋体"/>
          <w:color w:val="auto"/>
          <w:highlight w:val="none"/>
          <w:u w:val="single"/>
        </w:rPr>
      </w:pPr>
    </w:p>
    <w:tbl>
      <w:tblPr>
        <w:tblStyle w:val="25"/>
        <w:tblW w:w="99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997"/>
        <w:gridCol w:w="992"/>
        <w:gridCol w:w="7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997" w:type="dxa"/>
            <w:gridSpan w:val="4"/>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28"/>
                <w:szCs w:val="28"/>
                <w:highlight w:val="none"/>
                <w:lang w:val="en-US" w:eastAsia="zh-CN"/>
              </w:rPr>
              <w:t>项目采购需求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697" w:type="dxa"/>
            <w:tcBorders>
              <w:top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997" w:type="dxa"/>
            <w:tcBorders>
              <w:top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标的的名称</w:t>
            </w:r>
          </w:p>
        </w:tc>
        <w:tc>
          <w:tcPr>
            <w:tcW w:w="992" w:type="dxa"/>
            <w:tcBorders>
              <w:top w:val="single" w:color="auto" w:sz="4" w:space="0"/>
            </w:tcBorders>
            <w:noWrap w:val="0"/>
            <w:vAlign w:val="center"/>
          </w:tcPr>
          <w:p>
            <w:pPr>
              <w:spacing w:line="320" w:lineRule="exact"/>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数量及</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单位</w:t>
            </w:r>
          </w:p>
        </w:tc>
        <w:tc>
          <w:tcPr>
            <w:tcW w:w="7311" w:type="dxa"/>
            <w:tcBorders>
              <w:top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服务参数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tcBorders>
              <w:top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997" w:type="dxa"/>
            <w:tcBorders>
              <w:top w:val="single" w:color="auto" w:sz="4" w:space="0"/>
            </w:tcBorders>
            <w:noWrap w:val="0"/>
            <w:vAlign w:val="center"/>
          </w:tcPr>
          <w:p>
            <w:pPr>
              <w:spacing w:line="48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防城港市高中新课改培训</w:t>
            </w:r>
          </w:p>
        </w:tc>
        <w:tc>
          <w:tcPr>
            <w:tcW w:w="992" w:type="dxa"/>
            <w:tcBorders>
              <w:top w:val="single" w:color="auto" w:sz="4" w:space="0"/>
            </w:tcBorders>
            <w:noWrap w:val="0"/>
            <w:vAlign w:val="center"/>
          </w:tcPr>
          <w:p>
            <w:pPr>
              <w:spacing w:line="480" w:lineRule="auto"/>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61人</w:t>
            </w:r>
          </w:p>
        </w:tc>
        <w:tc>
          <w:tcPr>
            <w:tcW w:w="7311" w:type="dxa"/>
            <w:tcBorders>
              <w:top w:val="single" w:color="auto" w:sz="4" w:space="0"/>
            </w:tcBorders>
            <w:noWrap w:val="0"/>
            <w:vAlign w:val="center"/>
          </w:tcPr>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1.培训对象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全市普通高中（高一）学科教师。</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2.培训人数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61人。</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3.培训时间</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2023年6月，共8天。</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4.培训地点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广西</w:t>
            </w:r>
            <w:r>
              <w:rPr>
                <w:rFonts w:hint="eastAsia" w:ascii="宋体" w:hAnsi="宋体" w:eastAsia="宋体" w:cs="宋体"/>
                <w:color w:val="auto"/>
                <w:sz w:val="21"/>
                <w:szCs w:val="21"/>
                <w:highlight w:val="none"/>
              </w:rPr>
              <w:t>区外。</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5.培训内容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新高考综合改革政策解读、新高考模式下教学理念与方式转变、学科教学设计与实施策略、学科核心素养测评与学业质量评价标准、高考命题趋势与备课策略等。</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6.培训目标</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通过培训，使全市高一学科教师加深对新高考综合改革政策的理解，促进教师教学理念与方式的转变，增强教师的课程意识，提升教师实施课程方案和课程标准的能力。</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7.培训方式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集中培训+基地研修+小组研讨。</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8.培训团队</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培训专家团队由具有丰富培训经验的一线专家组成。其中一线学科名师、一线优秀教研员、骨干教师和培训管理者比例达到60%以上，高级职称以上的教师比例不少于70%，广西区外培训专家比例不少于40%。</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9.培训管理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组建培训管理团队，制定完善的培训管理制度，加强项目管理。充分调动和整合各方优质资源，提供项目实施期间所需的培训（授课）场所、授课所需教学设备设施、参训教师必要的学习资料等教学保障条件；提供良好的后勤保障条件，确保安全。严格考勤管理，对按要求完成培训学习并经考核合格的参训学员颁发培训结业证书。</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10.培训课程内容安排及组织教师参训</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签订合同后，由成交供应商按照本项目要求提供项目实施方案，合理安排培训课程，经采购人审核同意后组织实施并组织教师参训。</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11.培训材料收集归档</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培训结束后10个工作日内向采购人提交完整的培训过程材料，包括培训项目实施方案、培训项目总结报告、参训学员名单信息和考核结果、培训签到表、培训课程安排表、培训工作简报、培训绩效自评报告、学员培训满意度测评问卷及问卷分析报告、优秀典型案例、培训的过程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tcBorders>
              <w:top w:val="single" w:color="auto" w:sz="4" w:space="0"/>
            </w:tcBorders>
            <w:noWrap w:val="0"/>
            <w:vAlign w:val="center"/>
          </w:tcPr>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997" w:type="dxa"/>
            <w:tcBorders>
              <w:top w:val="single" w:color="auto" w:sz="4" w:space="0"/>
            </w:tcBorders>
            <w:noWrap w:val="0"/>
            <w:vAlign w:val="center"/>
          </w:tcPr>
          <w:p>
            <w:pPr>
              <w:spacing w:line="48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防城港市</w:t>
            </w:r>
            <w:r>
              <w:rPr>
                <w:rFonts w:hint="eastAsia" w:ascii="宋体" w:hAnsi="宋体" w:eastAsia="宋体" w:cs="宋体"/>
                <w:color w:val="auto"/>
                <w:sz w:val="21"/>
                <w:szCs w:val="21"/>
                <w:highlight w:val="none"/>
                <w:lang w:eastAsia="zh-CN"/>
              </w:rPr>
              <w:t>中小学</w:t>
            </w:r>
            <w:r>
              <w:rPr>
                <w:rFonts w:hint="eastAsia" w:ascii="宋体" w:hAnsi="宋体" w:eastAsia="宋体" w:cs="宋体"/>
                <w:color w:val="auto"/>
                <w:sz w:val="21"/>
                <w:szCs w:val="21"/>
                <w:highlight w:val="none"/>
              </w:rPr>
              <w:t>名班主任培</w:t>
            </w:r>
            <w:r>
              <w:rPr>
                <w:rFonts w:hint="eastAsia" w:ascii="宋体" w:hAnsi="宋体" w:eastAsia="宋体" w:cs="宋体"/>
                <w:color w:val="auto"/>
                <w:sz w:val="21"/>
                <w:szCs w:val="21"/>
                <w:highlight w:val="none"/>
                <w:lang w:eastAsia="zh-CN"/>
              </w:rPr>
              <w:t>育</w:t>
            </w:r>
            <w:r>
              <w:rPr>
                <w:rFonts w:hint="eastAsia" w:ascii="宋体" w:hAnsi="宋体" w:eastAsia="宋体" w:cs="宋体"/>
                <w:color w:val="auto"/>
                <w:sz w:val="21"/>
                <w:szCs w:val="21"/>
                <w:highlight w:val="none"/>
              </w:rPr>
              <w:t>工程</w:t>
            </w:r>
          </w:p>
        </w:tc>
        <w:tc>
          <w:tcPr>
            <w:tcW w:w="992" w:type="dxa"/>
            <w:tcBorders>
              <w:top w:val="single" w:color="auto" w:sz="4" w:space="0"/>
            </w:tcBorders>
            <w:noWrap w:val="0"/>
            <w:vAlign w:val="center"/>
          </w:tcPr>
          <w:p>
            <w:pPr>
              <w:spacing w:line="48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50人</w:t>
            </w:r>
          </w:p>
        </w:tc>
        <w:tc>
          <w:tcPr>
            <w:tcW w:w="7311" w:type="dxa"/>
            <w:tcBorders>
              <w:top w:val="single" w:color="auto" w:sz="4" w:space="0"/>
            </w:tcBorders>
            <w:noWrap w:val="0"/>
            <w:vAlign w:val="center"/>
          </w:tcPr>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1.培训对象</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全</w:t>
            </w:r>
            <w:r>
              <w:rPr>
                <w:rFonts w:hint="eastAsia" w:ascii="宋体" w:hAnsi="宋体" w:eastAsia="宋体" w:cs="宋体"/>
                <w:color w:val="auto"/>
                <w:sz w:val="21"/>
                <w:szCs w:val="21"/>
                <w:highlight w:val="none"/>
                <w:lang w:eastAsia="zh-CN"/>
              </w:rPr>
              <w:t>市中小学名</w:t>
            </w:r>
            <w:r>
              <w:rPr>
                <w:rFonts w:hint="eastAsia" w:ascii="宋体" w:hAnsi="宋体" w:eastAsia="宋体" w:cs="宋体"/>
                <w:color w:val="auto"/>
                <w:sz w:val="21"/>
                <w:szCs w:val="21"/>
                <w:highlight w:val="none"/>
              </w:rPr>
              <w:t>班主任</w:t>
            </w:r>
            <w:r>
              <w:rPr>
                <w:rFonts w:hint="eastAsia" w:ascii="宋体" w:hAnsi="宋体" w:eastAsia="宋体" w:cs="宋体"/>
                <w:color w:val="auto"/>
                <w:sz w:val="21"/>
                <w:szCs w:val="21"/>
                <w:highlight w:val="none"/>
                <w:lang w:eastAsia="zh-CN"/>
              </w:rPr>
              <w:t>培养对象</w:t>
            </w:r>
            <w:r>
              <w:rPr>
                <w:rFonts w:hint="eastAsia" w:ascii="宋体" w:hAnsi="宋体" w:eastAsia="宋体" w:cs="宋体"/>
                <w:color w:val="auto"/>
                <w:sz w:val="21"/>
                <w:szCs w:val="21"/>
                <w:highlight w:val="none"/>
              </w:rPr>
              <w:t>。</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2.培训人数</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50人。</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3.培训时间</w:t>
            </w:r>
            <w:r>
              <w:rPr>
                <w:rFonts w:hint="eastAsia" w:ascii="宋体" w:hAnsi="宋体" w:eastAsia="宋体" w:cs="宋体"/>
                <w:color w:val="auto"/>
                <w:sz w:val="21"/>
                <w:szCs w:val="21"/>
                <w:highlight w:val="none"/>
                <w:lang w:val="en-US" w:eastAsia="zh-CN"/>
              </w:rPr>
              <w:t>：2023年</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lang w:val="en-US" w:eastAsia="zh-CN"/>
              </w:rPr>
              <w:t>月，</w:t>
            </w:r>
            <w:r>
              <w:rPr>
                <w:rFonts w:hint="eastAsia" w:ascii="宋体" w:hAnsi="宋体" w:eastAsia="宋体" w:cs="宋体"/>
                <w:color w:val="auto"/>
                <w:sz w:val="21"/>
                <w:szCs w:val="21"/>
                <w:highlight w:val="none"/>
              </w:rPr>
              <w:t>共</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天。</w:t>
            </w:r>
          </w:p>
          <w:p>
            <w:pPr>
              <w:spacing w:line="480" w:lineRule="auto"/>
              <w:ind w:firstLine="420" w:firstLineChars="200"/>
              <w:jc w:val="left"/>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4.培训地点</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广西区外。</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.培训内容</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以家庭教育指导专题为主要培训内容，从家庭教育、班级管理理念和模式、角色定位、班级文化</w:t>
            </w:r>
            <w:r>
              <w:rPr>
                <w:rFonts w:hint="eastAsia" w:ascii="宋体" w:hAnsi="宋体" w:eastAsia="宋体" w:cs="宋体"/>
                <w:color w:val="auto"/>
                <w:sz w:val="21"/>
                <w:szCs w:val="21"/>
                <w:highlight w:val="none"/>
                <w:lang w:eastAsia="zh-CN"/>
              </w:rPr>
              <w:t>、工作室创建与运行能力</w:t>
            </w:r>
            <w:r>
              <w:rPr>
                <w:rFonts w:hint="eastAsia" w:ascii="宋体" w:hAnsi="宋体" w:eastAsia="宋体" w:cs="宋体"/>
                <w:color w:val="auto"/>
                <w:sz w:val="21"/>
                <w:szCs w:val="21"/>
                <w:highlight w:val="none"/>
              </w:rPr>
              <w:t>等角度开展培训。</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.培训目标</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eastAsia="zh-CN"/>
              </w:rPr>
              <w:t>通过培训，进一步拓宽参训学员的教育教学视野，完善学员的结识结构，使参训学员</w:t>
            </w:r>
            <w:r>
              <w:rPr>
                <w:rFonts w:hint="eastAsia" w:ascii="宋体" w:hAnsi="宋体" w:eastAsia="宋体" w:cs="宋体"/>
                <w:color w:val="auto"/>
                <w:sz w:val="21"/>
                <w:szCs w:val="21"/>
                <w:highlight w:val="none"/>
              </w:rPr>
              <w:t>具有先进的教育和班级管理理念，</w:t>
            </w:r>
            <w:r>
              <w:rPr>
                <w:rFonts w:hint="eastAsia" w:ascii="宋体" w:hAnsi="宋体" w:eastAsia="宋体" w:cs="宋体"/>
                <w:color w:val="auto"/>
                <w:sz w:val="21"/>
                <w:szCs w:val="21"/>
                <w:highlight w:val="none"/>
                <w:lang w:eastAsia="zh-CN"/>
              </w:rPr>
              <w:t>班主任应具备的六种能力（组织管理能力、创新学习能力、思想教育能力、交往和表达能力、自我反思能力和自我控制能力）进一步提升，初步具备创建班主任工作室的能力，班级管理影响力进一步提高。</w:t>
            </w:r>
          </w:p>
          <w:p>
            <w:pPr>
              <w:spacing w:line="48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.培训方式</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集中培训+基地研修</w:t>
            </w:r>
            <w:r>
              <w:rPr>
                <w:rFonts w:hint="eastAsia" w:ascii="宋体" w:hAnsi="宋体" w:eastAsia="宋体" w:cs="宋体"/>
                <w:color w:val="auto"/>
                <w:sz w:val="21"/>
                <w:szCs w:val="21"/>
                <w:highlight w:val="none"/>
                <w:lang w:val="en-US" w:eastAsia="zh-CN"/>
              </w:rPr>
              <w:t>+返岗实践。</w:t>
            </w:r>
          </w:p>
          <w:p>
            <w:pPr>
              <w:spacing w:line="48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8.培训</w:t>
            </w:r>
            <w:r>
              <w:rPr>
                <w:rFonts w:hint="eastAsia" w:ascii="宋体" w:hAnsi="宋体" w:eastAsia="宋体" w:cs="宋体"/>
                <w:color w:val="auto"/>
                <w:sz w:val="21"/>
                <w:szCs w:val="21"/>
                <w:highlight w:val="none"/>
                <w:lang w:eastAsia="zh-CN"/>
              </w:rPr>
              <w:t>团队</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培训专家团队由具有丰富培训经验的一线专家组成。</w:t>
            </w:r>
            <w:r>
              <w:rPr>
                <w:rFonts w:hint="eastAsia" w:ascii="宋体" w:hAnsi="宋体" w:eastAsia="宋体" w:cs="宋体"/>
                <w:color w:val="auto"/>
                <w:sz w:val="21"/>
                <w:szCs w:val="21"/>
                <w:highlight w:val="none"/>
                <w:lang w:eastAsia="zh-CN"/>
              </w:rPr>
              <w:t>其中</w:t>
            </w:r>
            <w:r>
              <w:rPr>
                <w:rFonts w:hint="eastAsia" w:ascii="宋体" w:hAnsi="宋体" w:eastAsia="宋体" w:cs="宋体"/>
                <w:color w:val="auto"/>
                <w:sz w:val="21"/>
                <w:szCs w:val="21"/>
                <w:highlight w:val="none"/>
              </w:rPr>
              <w:t>一线学科名师、一线优秀教研员、骨干教师和培训管理者比例达到60%</w:t>
            </w:r>
            <w:r>
              <w:rPr>
                <w:rFonts w:hint="eastAsia" w:ascii="宋体" w:hAnsi="宋体" w:eastAsia="宋体" w:cs="宋体"/>
                <w:color w:val="auto"/>
                <w:sz w:val="21"/>
                <w:szCs w:val="21"/>
                <w:highlight w:val="none"/>
                <w:lang w:eastAsia="zh-CN"/>
              </w:rPr>
              <w:t>以上，</w:t>
            </w:r>
            <w:r>
              <w:rPr>
                <w:rFonts w:hint="eastAsia" w:ascii="宋体" w:hAnsi="宋体" w:eastAsia="宋体" w:cs="宋体"/>
                <w:color w:val="auto"/>
                <w:sz w:val="21"/>
                <w:szCs w:val="21"/>
                <w:highlight w:val="none"/>
              </w:rPr>
              <w:t>高级职称</w:t>
            </w:r>
            <w:r>
              <w:rPr>
                <w:rFonts w:hint="eastAsia" w:ascii="宋体" w:hAnsi="宋体" w:eastAsia="宋体" w:cs="宋体"/>
                <w:color w:val="auto"/>
                <w:sz w:val="21"/>
                <w:szCs w:val="21"/>
                <w:highlight w:val="none"/>
                <w:lang w:eastAsia="zh-CN"/>
              </w:rPr>
              <w:t>以上的</w:t>
            </w:r>
            <w:r>
              <w:rPr>
                <w:rFonts w:hint="eastAsia" w:ascii="宋体" w:hAnsi="宋体" w:eastAsia="宋体" w:cs="宋体"/>
                <w:color w:val="auto"/>
                <w:sz w:val="21"/>
                <w:szCs w:val="21"/>
                <w:highlight w:val="none"/>
              </w:rPr>
              <w:t>教师比例不少于70%</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广西区外培训专家比例不少于</w:t>
            </w:r>
            <w:r>
              <w:rPr>
                <w:rFonts w:hint="eastAsia" w:ascii="宋体" w:hAnsi="宋体" w:eastAsia="宋体" w:cs="宋体"/>
                <w:color w:val="auto"/>
                <w:sz w:val="21"/>
                <w:szCs w:val="21"/>
                <w:highlight w:val="none"/>
                <w:lang w:val="en-US" w:eastAsia="zh-CN"/>
              </w:rPr>
              <w:t>40</w:t>
            </w:r>
            <w:r>
              <w:rPr>
                <w:rFonts w:hint="eastAsia" w:ascii="宋体" w:hAnsi="宋体" w:eastAsia="宋体" w:cs="宋体"/>
                <w:color w:val="auto"/>
                <w:sz w:val="21"/>
                <w:szCs w:val="21"/>
                <w:highlight w:val="none"/>
              </w:rPr>
              <w:t>%。</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9.培训管理</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组建培训管理团队，制定完善的培训管理制度，加强项目管理。充分调动和整合各方优质资源，提供项目实施期间所需的培训（授课）场所、授课所需教学设备设施、参训教师必要的学习资料等教学保障条件；提供良好的后勤保障条件，确保安全。严格考勤管理，对按要求完成培训学习并经考核合格的参训学员颁发培训结业证书。</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10.培训课程内容安排及组织教师参训</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签订合同后，由成交供应商按照本项目要求提供项目实施方案，合理安排培训课程，经采购人审核同意后组织实施并组织教师参训。</w:t>
            </w:r>
          </w:p>
          <w:p>
            <w:pPr>
              <w:spacing w:line="48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11.培训材料收集归档</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培训结束后10个工作日内向采购人提交完整的培训过程材料，包括培训项目实施方案、培训项目总结报告、参训学员名单信息和考核结果、培训签到表、培训课程安排表、培训工作简报、培训绩效自评报告、学员培训满意度测评问卷及问卷分析报告、优秀典型案例、培训的过程照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noWrap w:val="0"/>
            <w:vAlign w:val="center"/>
          </w:tcPr>
          <w:p>
            <w:pPr>
              <w:spacing w:line="40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商务条款</w:t>
            </w:r>
          </w:p>
        </w:tc>
        <w:tc>
          <w:tcPr>
            <w:tcW w:w="9300" w:type="dxa"/>
            <w:gridSpan w:val="3"/>
            <w:noWrap w:val="0"/>
            <w:vAlign w:val="top"/>
          </w:tcPr>
          <w:p>
            <w:pPr>
              <w:spacing w:line="360" w:lineRule="auto"/>
              <w:ind w:firstLine="420" w:firstLineChars="200"/>
              <w:rPr>
                <w:rFonts w:hint="eastAsia" w:ascii="宋体" w:hAnsi="宋体" w:eastAsia="宋体" w:cs="宋体"/>
                <w:b w:val="0"/>
                <w:bCs w:val="0"/>
                <w:color w:val="auto"/>
                <w:sz w:val="21"/>
                <w:szCs w:val="21"/>
                <w:highlight w:val="none"/>
                <w:lang w:val="en-US"/>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b w:val="0"/>
                <w:bCs w:val="0"/>
                <w:color w:val="auto"/>
                <w:sz w:val="21"/>
                <w:szCs w:val="21"/>
                <w:highlight w:val="none"/>
                <w:lang w:eastAsia="zh-CN"/>
              </w:rPr>
              <w:t>服务期限</w:t>
            </w:r>
            <w:r>
              <w:rPr>
                <w:rFonts w:hint="eastAsia" w:ascii="宋体" w:hAnsi="宋体" w:eastAsia="宋体" w:cs="宋体"/>
                <w:b w:val="0"/>
                <w:bCs w:val="0"/>
                <w:color w:val="auto"/>
                <w:sz w:val="21"/>
                <w:szCs w:val="21"/>
                <w:highlight w:val="none"/>
              </w:rPr>
              <w:t>及地点：</w:t>
            </w:r>
            <w:r>
              <w:rPr>
                <w:rFonts w:hint="eastAsia" w:ascii="宋体" w:hAnsi="宋体" w:eastAsia="宋体" w:cs="宋体"/>
                <w:b w:val="0"/>
                <w:bCs w:val="0"/>
                <w:color w:val="auto"/>
                <w:sz w:val="21"/>
                <w:szCs w:val="21"/>
                <w:highlight w:val="none"/>
                <w:lang w:val="en-US" w:eastAsia="zh-CN"/>
              </w:rPr>
              <w:t>签订合同后，采购人根据实际情况制定具体培训开始的时间及培训期限（含跟踪服务指导期限），成交供应商接到采购人通知后按磋商文件和采购人要求以及响应文件承诺提供培训服务</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服务地点：广西区内采购人指定地点。</w:t>
            </w:r>
          </w:p>
          <w:p>
            <w:pPr>
              <w:spacing w:line="40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.付款方式：</w:t>
            </w:r>
            <w:r>
              <w:rPr>
                <w:rFonts w:hint="eastAsia" w:ascii="宋体" w:hAnsi="宋体" w:eastAsia="宋体" w:cs="宋体"/>
                <w:color w:val="auto"/>
                <w:sz w:val="21"/>
                <w:szCs w:val="21"/>
                <w:highlight w:val="none"/>
                <w:lang w:val="en-US" w:eastAsia="zh-CN"/>
              </w:rPr>
              <w:t>合同签订后</w:t>
            </w:r>
            <w:r>
              <w:rPr>
                <w:rFonts w:hint="eastAsia" w:ascii="宋体" w:hAnsi="宋体" w:eastAsia="宋体" w:cs="Times New Roman"/>
                <w:b w:val="0"/>
                <w:bCs w:val="0"/>
                <w:color w:val="auto"/>
                <w:highlight w:val="none"/>
                <w:vertAlign w:val="baseline"/>
                <w:lang w:val="en-US" w:eastAsia="zh-CN"/>
              </w:rPr>
              <w:t>10个工作日内</w:t>
            </w:r>
            <w:r>
              <w:rPr>
                <w:rFonts w:hint="eastAsia" w:ascii="宋体" w:hAnsi="宋体" w:eastAsia="宋体" w:cs="Times New Roman"/>
                <w:b w:val="0"/>
                <w:bCs w:val="0"/>
                <w:color w:val="auto"/>
                <w:highlight w:val="none"/>
                <w:vertAlign w:val="baseline"/>
                <w:lang w:eastAsia="zh-CN"/>
              </w:rPr>
              <w:t>成交供应商向采购人提交培训实施方案，方案合格后</w:t>
            </w:r>
            <w:r>
              <w:rPr>
                <w:rFonts w:hint="eastAsia" w:ascii="宋体" w:hAnsi="宋体" w:eastAsia="宋体" w:cs="宋体"/>
                <w:color w:val="auto"/>
                <w:sz w:val="21"/>
                <w:szCs w:val="21"/>
                <w:highlight w:val="none"/>
                <w:lang w:val="en-US" w:eastAsia="zh-CN"/>
              </w:rPr>
              <w:t>15个工作日内</w:t>
            </w:r>
            <w:r>
              <w:rPr>
                <w:rFonts w:hint="eastAsia" w:ascii="宋体" w:hAnsi="宋体" w:eastAsia="宋体" w:cs="Times New Roman"/>
                <w:b w:val="0"/>
                <w:bCs w:val="0"/>
                <w:color w:val="auto"/>
                <w:highlight w:val="none"/>
                <w:vertAlign w:val="baseline"/>
                <w:lang w:eastAsia="zh-CN"/>
              </w:rPr>
              <w:t>采购人</w:t>
            </w:r>
            <w:r>
              <w:rPr>
                <w:rFonts w:hint="eastAsia" w:ascii="宋体" w:hAnsi="宋体" w:eastAsia="宋体" w:cs="宋体"/>
                <w:color w:val="auto"/>
                <w:sz w:val="21"/>
                <w:szCs w:val="21"/>
                <w:highlight w:val="none"/>
                <w:lang w:val="en-US" w:eastAsia="zh-CN"/>
              </w:rPr>
              <w:t>向成交供应商支付合同总金额的50%；项目的全部培训结束并通过采购人</w:t>
            </w:r>
            <w:r>
              <w:rPr>
                <w:rFonts w:hint="eastAsia" w:ascii="宋体" w:hAnsi="宋体" w:eastAsia="宋体" w:cs="宋体"/>
                <w:b w:val="0"/>
                <w:bCs w:val="0"/>
                <w:color w:val="auto"/>
                <w:sz w:val="21"/>
                <w:szCs w:val="21"/>
                <w:highlight w:val="none"/>
                <w:lang w:eastAsia="zh-CN"/>
              </w:rPr>
              <w:t>验收合格后，</w:t>
            </w:r>
            <w:r>
              <w:rPr>
                <w:rFonts w:hint="eastAsia" w:ascii="宋体" w:hAnsi="宋体" w:eastAsia="宋体" w:cs="宋体"/>
                <w:color w:val="auto"/>
                <w:sz w:val="21"/>
                <w:szCs w:val="21"/>
                <w:highlight w:val="none"/>
                <w:lang w:val="en-US" w:eastAsia="zh-CN"/>
              </w:rPr>
              <w:t>待成交供应商向</w:t>
            </w:r>
            <w:r>
              <w:rPr>
                <w:rFonts w:hint="eastAsia" w:ascii="宋体" w:hAnsi="宋体" w:eastAsia="宋体" w:cs="Times New Roman"/>
                <w:b w:val="0"/>
                <w:bCs w:val="0"/>
                <w:color w:val="auto"/>
                <w:highlight w:val="none"/>
                <w:vertAlign w:val="baseline"/>
                <w:lang w:eastAsia="zh-CN"/>
              </w:rPr>
              <w:t>采购人</w:t>
            </w:r>
            <w:r>
              <w:rPr>
                <w:rFonts w:hint="eastAsia" w:ascii="宋体" w:hAnsi="宋体" w:eastAsia="宋体" w:cs="宋体"/>
                <w:color w:val="auto"/>
                <w:sz w:val="21"/>
                <w:szCs w:val="21"/>
                <w:highlight w:val="none"/>
                <w:lang w:val="en-US" w:eastAsia="zh-CN"/>
              </w:rPr>
              <w:t>提交所有培训材料后</w:t>
            </w:r>
            <w:r>
              <w:rPr>
                <w:rFonts w:hint="eastAsia"/>
                <w:color w:val="auto"/>
                <w:lang w:val="en-US" w:eastAsia="zh-CN"/>
              </w:rPr>
              <w:t>10个工作日内</w:t>
            </w:r>
            <w:r>
              <w:rPr>
                <w:rFonts w:hint="eastAsia" w:ascii="宋体" w:hAnsi="宋体" w:eastAsia="宋体" w:cs="宋体"/>
                <w:b w:val="0"/>
                <w:bCs w:val="0"/>
                <w:color w:val="auto"/>
                <w:sz w:val="21"/>
                <w:szCs w:val="21"/>
                <w:highlight w:val="none"/>
                <w:lang w:eastAsia="zh-CN"/>
              </w:rPr>
              <w:t>，</w:t>
            </w:r>
            <w:r>
              <w:rPr>
                <w:rFonts w:hint="eastAsia" w:ascii="宋体" w:hAnsi="宋体" w:eastAsia="宋体" w:cs="Times New Roman"/>
                <w:b w:val="0"/>
                <w:bCs w:val="0"/>
                <w:color w:val="auto"/>
                <w:highlight w:val="none"/>
                <w:vertAlign w:val="baseline"/>
                <w:lang w:eastAsia="zh-CN"/>
              </w:rPr>
              <w:t>采购人</w:t>
            </w:r>
            <w:r>
              <w:rPr>
                <w:rFonts w:hint="eastAsia" w:ascii="宋体" w:hAnsi="宋体" w:eastAsia="宋体" w:cs="宋体"/>
                <w:b w:val="0"/>
                <w:bCs w:val="0"/>
                <w:color w:val="auto"/>
                <w:sz w:val="21"/>
                <w:szCs w:val="21"/>
                <w:highlight w:val="none"/>
                <w:lang w:val="en-US" w:eastAsia="zh-CN"/>
              </w:rPr>
              <w:t>再向成交供应商</w:t>
            </w:r>
            <w:r>
              <w:rPr>
                <w:rFonts w:hint="eastAsia" w:ascii="宋体" w:hAnsi="宋体" w:eastAsia="宋体" w:cs="宋体"/>
                <w:b w:val="0"/>
                <w:bCs w:val="0"/>
                <w:color w:val="auto"/>
                <w:sz w:val="21"/>
                <w:szCs w:val="21"/>
                <w:highlight w:val="none"/>
                <w:lang w:eastAsia="zh-CN"/>
              </w:rPr>
              <w:t>支付</w:t>
            </w:r>
            <w:r>
              <w:rPr>
                <w:rFonts w:hint="eastAsia" w:ascii="宋体" w:hAnsi="宋体" w:eastAsia="宋体" w:cs="宋体"/>
                <w:b w:val="0"/>
                <w:bCs w:val="0"/>
                <w:color w:val="auto"/>
                <w:sz w:val="21"/>
                <w:szCs w:val="21"/>
                <w:highlight w:val="none"/>
                <w:lang w:val="en-US" w:eastAsia="zh-CN"/>
              </w:rPr>
              <w:t>合同</w:t>
            </w:r>
            <w:r>
              <w:rPr>
                <w:rFonts w:hint="eastAsia" w:ascii="宋体" w:hAnsi="宋体" w:eastAsia="宋体" w:cs="宋体"/>
                <w:b w:val="0"/>
                <w:bCs w:val="0"/>
                <w:color w:val="auto"/>
                <w:sz w:val="21"/>
                <w:szCs w:val="21"/>
                <w:highlight w:val="none"/>
                <w:lang w:eastAsia="zh-CN"/>
              </w:rPr>
              <w:t>余款，</w:t>
            </w:r>
            <w:r>
              <w:rPr>
                <w:rFonts w:hint="eastAsia" w:ascii="宋体" w:hAnsi="宋体" w:eastAsia="宋体" w:cs="宋体"/>
                <w:color w:val="auto"/>
                <w:sz w:val="21"/>
                <w:szCs w:val="21"/>
                <w:highlight w:val="none"/>
                <w:lang w:val="en-US" w:eastAsia="zh-CN"/>
              </w:rPr>
              <w:t>成交供应商必须在收到款项后10个工作日内开具合法的且与合同总金额等额的正式发票给采购人。</w:t>
            </w:r>
          </w:p>
          <w:p>
            <w:pPr>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w:t>
            </w:r>
            <w:r>
              <w:rPr>
                <w:rFonts w:hint="eastAsia" w:ascii="宋体" w:hAnsi="宋体" w:eastAsia="宋体" w:cs="宋体"/>
                <w:b w:val="0"/>
                <w:bCs w:val="0"/>
                <w:color w:val="auto"/>
                <w:sz w:val="21"/>
                <w:szCs w:val="21"/>
                <w:highlight w:val="none"/>
              </w:rPr>
              <w:t>. 合同签订时间: 自成交通知书发出之日起</w:t>
            </w:r>
            <w:r>
              <w:rPr>
                <w:rFonts w:hint="eastAsia" w:ascii="宋体" w:hAnsi="宋体" w:eastAsia="宋体" w:cs="宋体"/>
                <w:b w:val="0"/>
                <w:bCs w:val="0"/>
                <w:color w:val="auto"/>
                <w:sz w:val="21"/>
                <w:szCs w:val="21"/>
                <w:highlight w:val="none"/>
                <w:lang w:val="en-US" w:eastAsia="zh-CN"/>
              </w:rPr>
              <w:t>25</w:t>
            </w:r>
            <w:r>
              <w:rPr>
                <w:rFonts w:hint="eastAsia" w:ascii="宋体" w:hAnsi="宋体" w:eastAsia="宋体" w:cs="宋体"/>
                <w:b w:val="0"/>
                <w:bCs w:val="0"/>
                <w:color w:val="auto"/>
                <w:sz w:val="21"/>
                <w:szCs w:val="21"/>
                <w:highlight w:val="none"/>
              </w:rPr>
              <w:t>日内</w:t>
            </w:r>
            <w:r>
              <w:rPr>
                <w:rFonts w:hint="eastAsia" w:ascii="宋体" w:hAnsi="宋体" w:eastAsia="宋体" w:cs="宋体"/>
                <w:b w:val="0"/>
                <w:bCs w:val="0"/>
                <w:color w:val="auto"/>
                <w:sz w:val="21"/>
                <w:szCs w:val="21"/>
                <w:highlight w:val="none"/>
                <w:lang w:eastAsia="zh-CN"/>
              </w:rPr>
              <w:t>。</w:t>
            </w:r>
          </w:p>
          <w:p>
            <w:pPr>
              <w:spacing w:line="360" w:lineRule="auto"/>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lang w:eastAsia="zh-CN"/>
              </w:rPr>
              <w:t>验收标准及服务标准</w:t>
            </w:r>
            <w:r>
              <w:rPr>
                <w:rFonts w:hint="eastAsia" w:ascii="宋体" w:hAnsi="宋体" w:eastAsia="宋体" w:cs="宋体"/>
                <w:b w:val="0"/>
                <w:bCs w:val="0"/>
                <w:color w:val="auto"/>
                <w:sz w:val="21"/>
                <w:szCs w:val="21"/>
                <w:highlight w:val="none"/>
              </w:rPr>
              <w:t>：符合现行国家相关标准、行业标准、地方标准或者其他标准、规范。</w:t>
            </w:r>
          </w:p>
          <w:p>
            <w:pPr>
              <w:pStyle w:val="38"/>
              <w:spacing w:line="360" w:lineRule="auto"/>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报价应包含了本项目“项目采购需求”规定的各项服务内容的价格，包括项目实施的全部学员的住宿费、伙食费、培训专家费、培训场地费、培训设备费、培训资料费、交通费、劳务费、现场教学、必要的保险费用和各项税金等完成本项目服务内容所需要的其他一切费用。对于本文件中未列明，而供应商认为必需的费用也需列入总报价。在合同实施时，采购人将不予支付成交供应商没有列入的项目费用，并认为此项目的费用已包括在总报价中。</w:t>
            </w:r>
          </w:p>
          <w:p>
            <w:pPr>
              <w:pStyle w:val="38"/>
              <w:keepNext w:val="0"/>
              <w:keepLines w:val="0"/>
              <w:pageBreakBefore w:val="0"/>
              <w:widowControl/>
              <w:numPr>
                <w:ilvl w:val="0"/>
                <w:numId w:val="0"/>
              </w:numPr>
              <w:shd w:val="clear" w:color="auto" w:fill="auto"/>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sz w:val="21"/>
                <w:szCs w:val="21"/>
                <w:highlight w:val="none"/>
                <w:vertAlign w:val="baseline"/>
                <w:lang w:eastAsia="zh-CN"/>
              </w:rPr>
            </w:pPr>
            <w:r>
              <w:rPr>
                <w:rFonts w:hint="eastAsia" w:ascii="宋体" w:hAnsi="宋体" w:eastAsia="宋体" w:cs="宋体"/>
                <w:b w:val="0"/>
                <w:bCs w:val="0"/>
                <w:color w:val="auto"/>
                <w:sz w:val="21"/>
                <w:szCs w:val="21"/>
                <w:highlight w:val="none"/>
                <w:vertAlign w:val="baseline"/>
                <w:lang w:val="en-US" w:eastAsia="zh-CN"/>
              </w:rPr>
              <w:t>6</w:t>
            </w:r>
            <w:r>
              <w:rPr>
                <w:rFonts w:hint="eastAsia" w:ascii="宋体" w:hAnsi="宋体" w:eastAsia="宋体" w:cs="宋体"/>
                <w:b w:val="0"/>
                <w:bCs w:val="0"/>
                <w:color w:val="auto"/>
                <w:sz w:val="21"/>
                <w:szCs w:val="21"/>
                <w:highlight w:val="none"/>
                <w:vertAlign w:val="baseline"/>
                <w:lang w:eastAsia="zh-CN"/>
              </w:rPr>
              <w:t>.成交供应商须承诺服从教育部、广西壮族自治区教育厅和防城港市教育局对培训项目实施的安排，遵守有关规定，接受项目监管。</w:t>
            </w:r>
          </w:p>
          <w:p>
            <w:pPr>
              <w:pStyle w:val="38"/>
              <w:spacing w:line="480" w:lineRule="auto"/>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b w:val="0"/>
                <w:bCs w:val="0"/>
                <w:color w:val="auto"/>
                <w:sz w:val="21"/>
                <w:szCs w:val="21"/>
                <w:highlight w:val="none"/>
                <w:vertAlign w:val="baseline"/>
                <w:lang w:val="en-US" w:eastAsia="zh-CN"/>
              </w:rPr>
              <w:t>7</w:t>
            </w:r>
            <w:r>
              <w:rPr>
                <w:rFonts w:hint="eastAsia" w:ascii="宋体" w:hAnsi="宋体" w:eastAsia="宋体" w:cs="宋体"/>
                <w:b w:val="0"/>
                <w:bCs w:val="0"/>
                <w:color w:val="auto"/>
                <w:sz w:val="21"/>
                <w:szCs w:val="21"/>
                <w:highlight w:val="none"/>
                <w:vertAlign w:val="baseline"/>
                <w:lang w:eastAsia="zh-CN"/>
              </w:rPr>
              <w:t>.处理问题响应时间∶供应商确保培训期间提供 7×24小时的电话支持服务，通过电话、短信、即时通讯工具、电子邮件等及时解决培训中各种问题，一旦出现电话解决不了的问题，6小时内到达指定地点解决。</w:t>
            </w:r>
          </w:p>
        </w:tc>
      </w:tr>
    </w:tbl>
    <w:p>
      <w:pPr>
        <w:pStyle w:val="39"/>
        <w:rPr>
          <w:color w:val="auto"/>
          <w:highlight w:val="none"/>
        </w:rPr>
      </w:pPr>
    </w:p>
    <w:p>
      <w:pPr>
        <w:pStyle w:val="39"/>
        <w:rPr>
          <w:color w:val="auto"/>
          <w:highlight w:val="none"/>
        </w:rPr>
      </w:pPr>
    </w:p>
    <w:p>
      <w:pPr>
        <w:pStyle w:val="39"/>
        <w:rPr>
          <w:color w:val="auto"/>
          <w:highlight w:val="none"/>
        </w:rPr>
      </w:pPr>
    </w:p>
    <w:p>
      <w:pPr>
        <w:pStyle w:val="39"/>
        <w:rPr>
          <w:color w:val="auto"/>
          <w:highlight w:val="none"/>
        </w:rPr>
      </w:pPr>
    </w:p>
    <w:p>
      <w:pPr>
        <w:jc w:val="center"/>
        <w:outlineLvl w:val="9"/>
        <w:rPr>
          <w:color w:val="auto"/>
          <w:sz w:val="32"/>
          <w:szCs w:val="20"/>
          <w:highlight w:val="none"/>
        </w:rPr>
      </w:pPr>
    </w:p>
    <w:p>
      <w:pPr>
        <w:jc w:val="center"/>
        <w:outlineLvl w:val="9"/>
        <w:rPr>
          <w:color w:val="auto"/>
          <w:sz w:val="32"/>
          <w:szCs w:val="20"/>
          <w:highlight w:val="none"/>
        </w:rPr>
      </w:pPr>
    </w:p>
    <w:p>
      <w:pPr>
        <w:rPr>
          <w:color w:val="auto"/>
          <w:sz w:val="32"/>
          <w:szCs w:val="20"/>
          <w:highlight w:val="none"/>
        </w:rPr>
      </w:pPr>
    </w:p>
    <w:p>
      <w:pPr>
        <w:pStyle w:val="12"/>
        <w:rPr>
          <w:color w:val="auto"/>
          <w:sz w:val="32"/>
          <w:highlight w:val="none"/>
        </w:rPr>
      </w:pPr>
    </w:p>
    <w:p>
      <w:pPr>
        <w:pStyle w:val="3"/>
        <w:ind w:firstLine="643" w:firstLineChars="200"/>
        <w:jc w:val="center"/>
        <w:rPr>
          <w:color w:val="auto"/>
          <w:sz w:val="32"/>
          <w:szCs w:val="20"/>
          <w:highlight w:val="none"/>
        </w:rPr>
      </w:pPr>
      <w:bookmarkStart w:id="36" w:name="_Toc9355"/>
      <w:r>
        <w:rPr>
          <w:rFonts w:hint="eastAsia"/>
          <w:color w:val="auto"/>
          <w:sz w:val="32"/>
          <w:szCs w:val="20"/>
          <w:highlight w:val="none"/>
        </w:rPr>
        <w:t>第四章 评审方法及定标标准</w:t>
      </w:r>
      <w:bookmarkEnd w:id="35"/>
      <w:bookmarkEnd w:id="36"/>
    </w:p>
    <w:p>
      <w:pPr>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一、评审程序和评审方法</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1</w:t>
      </w:r>
      <w:r>
        <w:rPr>
          <w:rFonts w:hint="eastAsia" w:ascii="黑体" w:hAnsi="黑体" w:eastAsia="黑体" w:cs="宋体"/>
          <w:b/>
          <w:bCs/>
          <w:color w:val="auto"/>
          <w:sz w:val="24"/>
          <w:highlight w:val="none"/>
        </w:rPr>
        <w:t>.资格审查</w:t>
      </w:r>
    </w:p>
    <w:p>
      <w:pPr>
        <w:snapToGrid w:val="0"/>
        <w:spacing w:line="360" w:lineRule="auto"/>
        <w:ind w:firstLine="420" w:firstLineChars="200"/>
        <w:rPr>
          <w:rFonts w:ascii="宋体" w:hAnsi="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.1</w:t>
      </w:r>
      <w:r>
        <w:rPr>
          <w:rFonts w:hint="eastAsia" w:ascii="宋体" w:hAnsi="宋体"/>
          <w:color w:val="auto"/>
          <w:szCs w:val="21"/>
          <w:highlight w:val="none"/>
        </w:rPr>
        <w:t>响应文件开启后，磋商小组依法对供应商的资格证明文件进行审查。</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注：采购人或者采购代理机构在资格审查结束前，对供应商进行信用查询。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（1）查询渠道：“信用中国”网站(www.creditchina.gov.cn) 、中国政府采购网(www.ccgp.gov.cn)。</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（2）信用查询截止时点：资格审查结束前。</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查询记录和证据留存方式：在查询网站中直接打印查询记录，打印材料作为评审资料保存。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（3）信用信息使用规则：对在“信用中国”网站(www.creditchina.gov.cn) 、中国政府采购网(www.ccgp.gov.cn)被列入失信被执行人、重大税收违法案件当事人名单、政府采购严重违法失信行为记录名单及其他不符合《中华人民共和国政府采购法》第二十二条规定条件的供应商，资格审查不通过，不得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.2资格审查标准为本磋商文件中载明对供应商资格要求的条件。资格审查采用合格制，凡符合磋商文件规定的供应商资格要求的响应文件均通过资格审查。</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.3供应商有下列情形之一的，资格审查不通过，其响应文件按无效响应处理：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w:t>
      </w:r>
      <w:r>
        <w:rPr>
          <w:rFonts w:hint="eastAsia" w:ascii="宋体" w:hAnsi="宋体" w:cs="宋体"/>
          <w:color w:val="auto"/>
          <w:szCs w:val="21"/>
          <w:highlight w:val="none"/>
        </w:rPr>
        <w:t>）不具备磋商文件中规定的资格要求的；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）响应文件未提供任一项“供应商须知前附表”资格证明文件规定的“必须提供”的文件资料的；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）响应文件提供的资格证明文件出现任一项不符合“供应商须知前附表”资格证明文件规定的“必须提供”的文件资料要求或者无效的。</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.4通过资格审查的合格供应商不足3家的，不得进入符合性审查环节，</w:t>
      </w:r>
      <w:r>
        <w:rPr>
          <w:rFonts w:hint="eastAsia" w:ascii="宋体" w:hAnsi="宋体"/>
          <w:color w:val="auto"/>
          <w:szCs w:val="21"/>
          <w:highlight w:val="none"/>
        </w:rPr>
        <w:t>采购人或者采购代理机构应当重新开展采购活动。</w:t>
      </w:r>
    </w:p>
    <w:p>
      <w:pPr>
        <w:spacing w:line="360" w:lineRule="auto"/>
        <w:ind w:firstLine="482" w:firstLineChars="200"/>
        <w:rPr>
          <w:rFonts w:ascii="黑体" w:hAnsi="黑体" w:eastAsia="黑体" w:cs="宋体"/>
          <w:b/>
          <w:bCs/>
          <w:color w:val="auto"/>
          <w:sz w:val="24"/>
          <w:highlight w:val="none"/>
        </w:rPr>
      </w:pPr>
      <w:r>
        <w:rPr>
          <w:rFonts w:ascii="黑体" w:hAnsi="黑体" w:eastAsia="黑体" w:cs="宋体"/>
          <w:b/>
          <w:bCs/>
          <w:color w:val="auto"/>
          <w:sz w:val="24"/>
          <w:highlight w:val="none"/>
        </w:rPr>
        <w:t>2</w:t>
      </w:r>
      <w:r>
        <w:rPr>
          <w:rFonts w:hint="eastAsia" w:ascii="黑体" w:hAnsi="黑体" w:eastAsia="黑体" w:cs="宋体"/>
          <w:b/>
          <w:bCs/>
          <w:color w:val="auto"/>
          <w:sz w:val="24"/>
          <w:highlight w:val="none"/>
        </w:rPr>
        <w:t>.符合性审查</w:t>
      </w:r>
    </w:p>
    <w:p>
      <w:pPr>
        <w:spacing w:line="360" w:lineRule="auto"/>
        <w:ind w:firstLine="420" w:firstLineChars="200"/>
        <w:rPr>
          <w:rFonts w:ascii="宋体" w:hAnsi="宋体" w:cs="宋体"/>
          <w:color w:val="auto"/>
          <w:szCs w:val="21"/>
          <w:highlight w:val="none"/>
        </w:rPr>
      </w:pPr>
      <w:bookmarkStart w:id="37" w:name="_Hlk42528882"/>
      <w:r>
        <w:rPr>
          <w:rFonts w:ascii="宋体" w:hAnsi="宋体" w:cs="宋体"/>
          <w:color w:val="auto"/>
          <w:szCs w:val="21"/>
          <w:highlight w:val="none"/>
        </w:rPr>
        <w:t>2.1</w:t>
      </w:r>
      <w:r>
        <w:rPr>
          <w:rFonts w:hint="eastAsia" w:ascii="宋体" w:hAnsi="宋体" w:cs="宋体"/>
          <w:color w:val="auto"/>
          <w:szCs w:val="21"/>
          <w:highlight w:val="none"/>
        </w:rPr>
        <w:t>由磋商小组对</w:t>
      </w:r>
      <w:r>
        <w:rPr>
          <w:rFonts w:hint="eastAsia" w:ascii="宋体" w:hAnsi="宋体"/>
          <w:color w:val="auto"/>
          <w:szCs w:val="21"/>
          <w:highlight w:val="none"/>
        </w:rPr>
        <w:t>通过资格审查的合格供应商</w:t>
      </w:r>
      <w:r>
        <w:rPr>
          <w:rFonts w:hint="eastAsia" w:ascii="宋体" w:hAnsi="宋体" w:cs="宋体"/>
          <w:color w:val="auto"/>
          <w:szCs w:val="21"/>
          <w:highlight w:val="none"/>
        </w:rPr>
        <w:t>的响应文件的竞标报价、商务、技术等实质性要求进行符合性审查，以确定其是否满足磋商文件的实质性要求。</w:t>
      </w:r>
    </w:p>
    <w:bookmarkEnd w:id="37"/>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2.2</w:t>
      </w:r>
      <w:r>
        <w:rPr>
          <w:rFonts w:hint="eastAsia" w:ascii="宋体" w:hAnsi="宋体" w:cs="宋体"/>
          <w:color w:val="auto"/>
          <w:szCs w:val="21"/>
          <w:highlight w:val="none"/>
        </w:rPr>
        <w:t>磋商小组在对响应文件进行符合性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0" w:firstLineChars="200"/>
        <w:rPr>
          <w:rFonts w:ascii="宋体" w:hAnsi="宋体" w:cs="宋体"/>
          <w:color w:val="auto"/>
          <w:spacing w:val="-6"/>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w:t>
      </w:r>
      <w:r>
        <w:rPr>
          <w:rFonts w:ascii="宋体" w:hAnsi="宋体" w:cs="宋体"/>
          <w:color w:val="auto"/>
          <w:szCs w:val="21"/>
          <w:highlight w:val="none"/>
        </w:rPr>
        <w:t>3</w:t>
      </w:r>
      <w:r>
        <w:rPr>
          <w:rFonts w:hint="eastAsia" w:ascii="宋体" w:hAnsi="宋体" w:cs="宋体"/>
          <w:color w:val="auto"/>
          <w:szCs w:val="21"/>
          <w:highlight w:val="none"/>
        </w:rPr>
        <w:t>磋商小组要求供应商澄清、说明或者更正响应文件应当以书面形式作出。供应商的澄清、说明或者更正应当以书面形式按照磋商小组的要求作出明确的澄清、说明或者更正，未按磋商小组的要求作出明确澄清、说明或者更正的供应商的响应文件将按照有利于采购人的原则由磋商小组进行判定。供应商的澄清、说明或者更正必须由法定代表人或者其授权代表签字或者加盖公章。由委托代理人签字的，</w:t>
      </w:r>
      <w:r>
        <w:rPr>
          <w:rFonts w:hint="eastAsia" w:ascii="宋体" w:hAnsi="宋体" w:cs="宋体"/>
          <w:bCs/>
          <w:color w:val="auto"/>
          <w:szCs w:val="21"/>
          <w:highlight w:val="none"/>
        </w:rPr>
        <w:t>若委托代理人不是响应文件中授权的委托代理人时，必须同时出示有效的法定代表人授权委托书原件</w:t>
      </w:r>
      <w:r>
        <w:rPr>
          <w:rFonts w:hint="eastAsia" w:ascii="宋体" w:hAnsi="宋体" w:cs="宋体"/>
          <w:color w:val="auto"/>
          <w:spacing w:val="-6"/>
          <w:szCs w:val="21"/>
          <w:highlight w:val="none"/>
        </w:rPr>
        <w:t>。供应商为自然人的，必须由本人签字并附身份证明。</w:t>
      </w:r>
    </w:p>
    <w:p>
      <w:pPr>
        <w:spacing w:line="360" w:lineRule="auto"/>
        <w:ind w:firstLine="396" w:firstLineChars="200"/>
        <w:rPr>
          <w:rFonts w:ascii="宋体" w:hAnsi="宋体" w:cs="宋体"/>
          <w:color w:val="auto"/>
          <w:szCs w:val="21"/>
          <w:highlight w:val="none"/>
        </w:rPr>
      </w:pPr>
      <w:r>
        <w:rPr>
          <w:rFonts w:ascii="宋体" w:hAnsi="宋体" w:cs="宋体"/>
          <w:color w:val="auto"/>
          <w:spacing w:val="-6"/>
          <w:szCs w:val="21"/>
          <w:highlight w:val="none"/>
        </w:rPr>
        <w:t>2.4</w:t>
      </w:r>
      <w:r>
        <w:rPr>
          <w:rFonts w:hint="eastAsia" w:ascii="宋体" w:hAnsi="宋体" w:cs="宋体"/>
          <w:color w:val="auto"/>
          <w:szCs w:val="21"/>
          <w:highlight w:val="none"/>
        </w:rPr>
        <w:t xml:space="preserve">首次响应文件报价出现前后不一致的，按照下列规定修正：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（1）响应文件中竞标报价表内容与响应文件中相应内容不一致的，以竞标报价表为准；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（2）大写金额和小写金额不一致的，以大写金额为准；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（3）单价金额小数点或者百分比有明显错位的，以竞标报价表的总价为准，并修改单价；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（4）总价金额与按单价汇总金额不一致的，以单价金额计算结果为准。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同时出现两种以上不一致的，按照以上（1）-（4）规定的顺序逐条进行修正。修正后的报价经供应商确认后产生约束力，供应商不确认的，其响应文件按无效响应处理。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w:t>
      </w:r>
      <w:r>
        <w:rPr>
          <w:rFonts w:ascii="宋体" w:hAnsi="宋体" w:cs="宋体"/>
          <w:color w:val="auto"/>
          <w:szCs w:val="21"/>
          <w:highlight w:val="none"/>
        </w:rPr>
        <w:t>5</w:t>
      </w:r>
      <w:r>
        <w:rPr>
          <w:rFonts w:hint="eastAsia" w:ascii="宋体" w:hAnsi="宋体" w:cs="宋体"/>
          <w:color w:val="auto"/>
          <w:szCs w:val="21"/>
          <w:highlight w:val="none"/>
        </w:rPr>
        <w:t>商务技术报价评审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在评审时，如发现下列情形之一的，将被视为响应文件无效处理：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（1）商务技术评审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1）提供响应文件正、副本数量不足；</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2）响应文件未按磋商文件要求签署、盖章；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3）委托代理人未能出具有效身份证明或者出具的身份证明与授权委托书中的信息不符；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4）提交的磋商保证金无效的或者未按照磋商文件的规定提交磋商保证金；</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5）响应文件未提供任一项“供应商须知前附表” 报价商务技术文件中 “必须提供”或者“委托时必须提供”的文件资料；响应文件提供的报价商务技术文件出现任一项不符合“供应商须知前附表” 报价商务技术文件中 “必须提供”或者“委托时必须提供”文件资料要求的规定或者提供的报价商务技术文件无效。</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6</w:t>
      </w:r>
      <w:r>
        <w:rPr>
          <w:rFonts w:hint="eastAsia" w:ascii="宋体" w:hAnsi="宋体" w:cs="宋体"/>
          <w:color w:val="auto"/>
          <w:szCs w:val="21"/>
          <w:highlight w:val="none"/>
        </w:rPr>
        <w:t>）商务条款中标“▲”的条款发生负偏离的或者允许负偏离的条款数超过“供应商须知前附表”规定项数的或者标明实质性的要求发生负偏离；</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7</w:t>
      </w:r>
      <w:r>
        <w:rPr>
          <w:rFonts w:hint="eastAsia" w:ascii="宋体" w:hAnsi="宋体" w:cs="宋体"/>
          <w:color w:val="auto"/>
          <w:szCs w:val="21"/>
          <w:highlight w:val="none"/>
        </w:rPr>
        <w:t>）未对竞标有效期作出响应或者响应文件承诺的竞标有效期不满足磋商文件要求；</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8</w:t>
      </w:r>
      <w:r>
        <w:rPr>
          <w:rFonts w:hint="eastAsia" w:ascii="宋体" w:hAnsi="宋体" w:cs="宋体"/>
          <w:color w:val="auto"/>
          <w:szCs w:val="21"/>
          <w:highlight w:val="none"/>
        </w:rPr>
        <w:t>）响应文件的实质性内容未使用中文表述、使用计量单位不符合磋商文件要求；</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9</w:t>
      </w:r>
      <w:r>
        <w:rPr>
          <w:rFonts w:hint="eastAsia" w:ascii="宋体" w:hAnsi="宋体" w:cs="宋体"/>
          <w:color w:val="auto"/>
          <w:szCs w:val="21"/>
          <w:highlight w:val="none"/>
        </w:rPr>
        <w:t>）响应文件中的文件资料因填写不齐全或者内容虚假或者出现其他情形而导致被磋商小组认定无效；</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w:t>
      </w:r>
      <w:r>
        <w:rPr>
          <w:rFonts w:hint="eastAsia" w:ascii="宋体" w:hAnsi="宋体" w:cs="宋体"/>
          <w:color w:val="auto"/>
          <w:szCs w:val="21"/>
          <w:highlight w:val="none"/>
        </w:rPr>
        <w:t>）响应文件含有采购人不能接受的附加条件；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1</w:t>
      </w:r>
      <w:r>
        <w:rPr>
          <w:rFonts w:hint="eastAsia" w:ascii="宋体" w:hAnsi="宋体" w:cs="宋体"/>
          <w:color w:val="auto"/>
          <w:szCs w:val="21"/>
          <w:highlight w:val="none"/>
        </w:rPr>
        <w:t>）属于“供应商须知正文”第7.</w:t>
      </w:r>
      <w:r>
        <w:rPr>
          <w:rFonts w:ascii="宋体" w:hAnsi="宋体" w:cs="宋体"/>
          <w:color w:val="auto"/>
          <w:szCs w:val="21"/>
          <w:highlight w:val="none"/>
        </w:rPr>
        <w:t>5</w:t>
      </w:r>
      <w:r>
        <w:rPr>
          <w:rFonts w:hint="eastAsia" w:ascii="宋体" w:hAnsi="宋体" w:cs="宋体"/>
          <w:color w:val="auto"/>
          <w:szCs w:val="21"/>
          <w:highlight w:val="none"/>
        </w:rPr>
        <w:t>条情形；</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2）明显不满足磋商文件要求的技术规格、安全、质量标准，或者与磋商文件中标“▲”的技术需求或者标明实质性的要求发生负偏离；</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13</w:t>
      </w:r>
      <w:r>
        <w:rPr>
          <w:rFonts w:hint="eastAsia" w:ascii="宋体" w:hAnsi="宋体" w:cs="宋体"/>
          <w:color w:val="auto"/>
          <w:szCs w:val="21"/>
          <w:highlight w:val="none"/>
        </w:rPr>
        <w:t>）技术需求允许负偏离的条款数超过“供应商须知前附表”规定项数；</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14</w:t>
      </w:r>
      <w:r>
        <w:rPr>
          <w:rFonts w:hint="eastAsia" w:ascii="宋体" w:hAnsi="宋体" w:cs="宋体"/>
          <w:color w:val="auto"/>
          <w:szCs w:val="21"/>
          <w:highlight w:val="none"/>
        </w:rPr>
        <w:t>）虚假竞标，或者出现其他情形而导致被磋商小组认定无效；</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15</w:t>
      </w:r>
      <w:r>
        <w:rPr>
          <w:rFonts w:hint="eastAsia" w:ascii="宋体" w:hAnsi="宋体" w:cs="宋体"/>
          <w:color w:val="auto"/>
          <w:szCs w:val="21"/>
          <w:highlight w:val="none"/>
        </w:rPr>
        <w:t>）竞标技术方案不明确，磋商文件未允许</w:t>
      </w:r>
      <w:r>
        <w:rPr>
          <w:rFonts w:hint="eastAsia" w:ascii="宋体" w:hAnsi="宋体"/>
          <w:color w:val="auto"/>
          <w:szCs w:val="21"/>
          <w:highlight w:val="none"/>
        </w:rPr>
        <w:t>但响应文件中</w:t>
      </w:r>
      <w:r>
        <w:rPr>
          <w:rFonts w:hint="eastAsia" w:ascii="宋体" w:hAnsi="宋体" w:cs="宋体"/>
          <w:color w:val="auto"/>
          <w:szCs w:val="21"/>
          <w:highlight w:val="none"/>
        </w:rPr>
        <w:t>存在一个或者一个以上备选（替代）竞标方案；</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w:t>
      </w:r>
      <w:r>
        <w:rPr>
          <w:rFonts w:hint="eastAsia" w:ascii="宋体" w:hAnsi="宋体" w:cs="宋体"/>
          <w:color w:val="auto"/>
          <w:szCs w:val="21"/>
          <w:highlight w:val="none"/>
        </w:rPr>
        <w:t>6）未响应磋商文件实质性要求；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7</w:t>
      </w:r>
      <w:r>
        <w:rPr>
          <w:rFonts w:hint="eastAsia" w:ascii="宋体" w:hAnsi="宋体" w:cs="宋体"/>
          <w:color w:val="auto"/>
          <w:szCs w:val="21"/>
          <w:highlight w:val="none"/>
        </w:rPr>
        <w:t>）法律、法规和磋商文件规定的其他无效情形。</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2</w:t>
      </w:r>
      <w:r>
        <w:rPr>
          <w:rFonts w:hint="eastAsia" w:ascii="宋体" w:hAnsi="宋体" w:cs="宋体"/>
          <w:color w:val="auto"/>
          <w:szCs w:val="21"/>
          <w:highlight w:val="none"/>
        </w:rPr>
        <w:t>）报价评审</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1)响应文件未提供“供应商须知前附表” 报价商务技术文件中规定的“竞标报价表”；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2）未采用人民币报价或者未按照磋商文件标明的币种报价；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供应商未就所竞标分标进行报价或者存在漏项报价；供应商未就所竞标分标的单项内容作唯一报价；供应商未就所竞标分标的全部内容作唯一总价报价；供应商响应文件中存在有选择、有条件报价的（磋商文件允许有备选方案或者其他约定的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4）竞标报价（包含首次报价、最后报价）超过所竞标分标规定的采购预算金额或者最高限价的（如本项目公布了最高限价）；</w:t>
      </w:r>
      <w:bookmarkStart w:id="38" w:name="_Hlk42596405"/>
      <w:r>
        <w:rPr>
          <w:rFonts w:hint="eastAsia" w:ascii="宋体" w:hAnsi="宋体" w:cs="宋体"/>
          <w:color w:val="auto"/>
          <w:szCs w:val="21"/>
          <w:highlight w:val="none"/>
        </w:rPr>
        <w:t>竞标报价（包含首次报价、最后报价）</w:t>
      </w:r>
      <w:bookmarkEnd w:id="38"/>
      <w:bookmarkStart w:id="39" w:name="_Hlk42596276"/>
      <w:r>
        <w:rPr>
          <w:rFonts w:hint="eastAsia" w:ascii="宋体" w:hAnsi="宋体" w:cs="宋体"/>
          <w:color w:val="auto"/>
          <w:szCs w:val="21"/>
          <w:highlight w:val="none"/>
        </w:rPr>
        <w:t>超过磋商文件分项采购预算金额或者最高限价的</w:t>
      </w:r>
      <w:bookmarkEnd w:id="39"/>
      <w:r>
        <w:rPr>
          <w:rFonts w:hint="eastAsia" w:ascii="宋体" w:hAnsi="宋体" w:cs="宋体"/>
          <w:color w:val="auto"/>
          <w:szCs w:val="21"/>
          <w:highlight w:val="none"/>
        </w:rPr>
        <w:t>（如本项目公布了最高限价）；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修正后的报价，供应商不确认的；或者经供应商确认修正后的竞标报价（包含首次报价、最后报价）超过所竞标分标规定的采购预算金额或者最高限价（如本项目公布了最高限价）；或者经供应商确认修正后竞标报价（包含首次报价、最后报价）超过磋商文件分项采购预算金额或者最高限价的（如本项目公布了最高限价）。</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2.6</w:t>
      </w:r>
      <w:r>
        <w:rPr>
          <w:rFonts w:hint="eastAsia" w:ascii="宋体" w:hAnsi="宋体" w:cs="宋体"/>
          <w:color w:val="auto"/>
          <w:szCs w:val="21"/>
          <w:highlight w:val="none"/>
        </w:rPr>
        <w:t>磋商小组对响应文件进行评审，未实质性响应磋商文件的响应文件按无效处理，由磋商小组告知有关供应商。磋商小组从符合磋商文件规定的相应资格条件的供应商名单中确定不少于3家的供应商参加磋商。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2.7</w:t>
      </w:r>
      <w:r>
        <w:rPr>
          <w:rFonts w:hint="eastAsia" w:ascii="宋体" w:hAnsi="宋体"/>
          <w:color w:val="auto"/>
          <w:szCs w:val="21"/>
          <w:highlight w:val="none"/>
        </w:rPr>
        <w:t>通过符合性审查的合格供应商不足3家的，不得进入磋商环节，采购人或者采购代理机构应当重新开展采购活动。</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3</w:t>
      </w:r>
      <w:r>
        <w:rPr>
          <w:rFonts w:ascii="黑体" w:hAnsi="黑体" w:eastAsia="黑体" w:cs="宋体"/>
          <w:b/>
          <w:bCs/>
          <w:color w:val="auto"/>
          <w:sz w:val="24"/>
          <w:highlight w:val="none"/>
        </w:rPr>
        <w:t>.</w:t>
      </w:r>
      <w:r>
        <w:rPr>
          <w:rFonts w:hint="eastAsia" w:ascii="黑体" w:hAnsi="黑体" w:eastAsia="黑体" w:cs="宋体"/>
          <w:b/>
          <w:bCs/>
          <w:color w:val="auto"/>
          <w:sz w:val="24"/>
          <w:highlight w:val="none"/>
        </w:rPr>
        <w:t>磋商</w:t>
      </w:r>
    </w:p>
    <w:p>
      <w:pPr>
        <w:spacing w:line="360" w:lineRule="auto"/>
        <w:ind w:firstLine="420" w:firstLineChars="200"/>
        <w:rPr>
          <w:rFonts w:ascii="宋体" w:hAnsi="宋体" w:cs="宋体"/>
          <w:color w:val="auto"/>
          <w:kern w:val="0"/>
          <w:szCs w:val="21"/>
          <w:highlight w:val="none"/>
        </w:rPr>
      </w:pPr>
      <w:r>
        <w:rPr>
          <w:rFonts w:ascii="宋体" w:hAnsi="宋体" w:cs="宋体"/>
          <w:color w:val="auto"/>
          <w:kern w:val="0"/>
          <w:szCs w:val="21"/>
          <w:highlight w:val="none"/>
        </w:rPr>
        <w:t>3</w:t>
      </w:r>
      <w:r>
        <w:rPr>
          <w:rFonts w:hint="eastAsia" w:ascii="宋体" w:hAnsi="宋体" w:cs="宋体"/>
          <w:color w:val="auto"/>
          <w:kern w:val="0"/>
          <w:szCs w:val="21"/>
          <w:highlight w:val="none"/>
        </w:rPr>
        <w:t>.磋商的程序</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w:t>
      </w:r>
      <w:r>
        <w:rPr>
          <w:rFonts w:ascii="宋体" w:hAnsi="宋体" w:cs="宋体"/>
          <w:color w:val="auto"/>
          <w:kern w:val="0"/>
          <w:szCs w:val="21"/>
          <w:highlight w:val="none"/>
        </w:rPr>
        <w:t>.1</w:t>
      </w:r>
      <w:r>
        <w:rPr>
          <w:rFonts w:hint="eastAsia" w:ascii="宋体" w:hAnsi="宋体" w:cs="宋体"/>
          <w:color w:val="auto"/>
          <w:kern w:val="0"/>
          <w:szCs w:val="21"/>
          <w:highlight w:val="none"/>
        </w:rPr>
        <w:t>磋商小组按照“供应商须知前附表”确定的</w:t>
      </w:r>
      <w:r>
        <w:rPr>
          <w:rFonts w:hint="eastAsia" w:ascii="宋体" w:hAnsi="宋体" w:cs="宋体"/>
          <w:color w:val="auto"/>
          <w:szCs w:val="21"/>
          <w:highlight w:val="none"/>
        </w:rPr>
        <w:t>顺序，集中与单一供应商分别进行磋商，并给予所有参加磋商的供应商平等的磋商机会。符合磋商资格的供应商必须在接到磋商通知后规定时间内参加磋商，未在规定时间内参加磋商的视同放弃参加磋商权利，其响应文件按无效响应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3.2</w:t>
      </w:r>
      <w:r>
        <w:rPr>
          <w:rFonts w:hint="eastAsia" w:ascii="宋体" w:hAnsi="宋体" w:cs="宋体"/>
          <w:color w:val="auto"/>
          <w:szCs w:val="21"/>
          <w:highlight w:val="none"/>
        </w:rPr>
        <w:t>在磋商过程中，磋商小组可以根据磋商文件和磋商情况实质性变动采购需求中的技术、服务要求以及合同草案条款，但不得变动磋商文件中的其他内容。实质性变动的内容，须经采购人代表确认。可能实质性变动的内容为采购需求中的技术、服务要求以及合同草案条款。</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3.3</w:t>
      </w:r>
      <w:r>
        <w:rPr>
          <w:rFonts w:hint="eastAsia" w:ascii="宋体" w:hAnsi="宋体" w:cs="宋体"/>
          <w:color w:val="auto"/>
          <w:szCs w:val="21"/>
          <w:highlight w:val="none"/>
        </w:rPr>
        <w:t>对磋商文件作出的实质性变动是磋商文件的有效组成部分，由磋商小组及时以书面形式同时通知所有参加磋商的供应商。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3.4</w:t>
      </w:r>
      <w:r>
        <w:rPr>
          <w:rFonts w:hint="eastAsia" w:ascii="宋体" w:hAnsi="宋体" w:cs="宋体"/>
          <w:color w:val="auto"/>
          <w:szCs w:val="21"/>
          <w:highlight w:val="none"/>
        </w:rPr>
        <w:t>供应商必须按照磋商文件的变动情况和磋商小组的要求重新提交响应文件，并由其法定代表人或者授权代表签字或者加盖公章。由委托代理人签字的，</w:t>
      </w:r>
      <w:r>
        <w:rPr>
          <w:rFonts w:hint="eastAsia" w:ascii="宋体" w:hAnsi="宋体" w:cs="宋体"/>
          <w:bCs/>
          <w:color w:val="auto"/>
          <w:szCs w:val="21"/>
          <w:highlight w:val="none"/>
        </w:rPr>
        <w:t>若委托代理人不是响应文件中授权的委托代理人时，必须同时出示有效的法定代表人授权委托书原件</w:t>
      </w:r>
      <w:r>
        <w:rPr>
          <w:rFonts w:hint="eastAsia" w:ascii="宋体" w:hAnsi="宋体" w:cs="宋体"/>
          <w:color w:val="auto"/>
          <w:szCs w:val="21"/>
          <w:highlight w:val="none"/>
        </w:rPr>
        <w:t>。供应商为自然人的，必须由本人签字并附身份证明。参加磋商的供应商未在规定时间内重新提交响应文件的，视同</w:t>
      </w:r>
      <w:bookmarkStart w:id="40" w:name="_Hlk55814495"/>
      <w:r>
        <w:rPr>
          <w:rFonts w:hint="eastAsia" w:ascii="宋体" w:hAnsi="宋体" w:cs="宋体"/>
          <w:color w:val="auto"/>
          <w:szCs w:val="21"/>
          <w:highlight w:val="none"/>
        </w:rPr>
        <w:t>退出磋商</w:t>
      </w:r>
      <w:bookmarkEnd w:id="40"/>
      <w:r>
        <w:rPr>
          <w:rFonts w:hint="eastAsia" w:ascii="宋体" w:hAnsi="宋体" w:cs="宋体"/>
          <w:color w:val="auto"/>
          <w:szCs w:val="21"/>
          <w:highlight w:val="none"/>
        </w:rPr>
        <w:t>，其响应文件作无效处理。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3.5</w:t>
      </w:r>
      <w:r>
        <w:rPr>
          <w:rFonts w:hint="eastAsia" w:ascii="宋体" w:hAnsi="宋体" w:cs="宋体"/>
          <w:color w:val="auto"/>
          <w:szCs w:val="21"/>
          <w:highlight w:val="none"/>
        </w:rPr>
        <w:t>磋商中，</w:t>
      </w:r>
      <w:r>
        <w:rPr>
          <w:rFonts w:hint="eastAsia" w:ascii="宋体" w:hAnsi="宋体" w:cs="宋体"/>
          <w:color w:val="auto"/>
          <w:spacing w:val="-6"/>
          <w:szCs w:val="21"/>
          <w:highlight w:val="none"/>
        </w:rPr>
        <w:t>磋商的任何一方不得透露与磋商有关的其他供应商的技术资料、价格和其他信息。</w:t>
      </w:r>
    </w:p>
    <w:p>
      <w:pPr>
        <w:widowControl/>
        <w:tabs>
          <w:tab w:val="left" w:pos="540"/>
        </w:tabs>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3.6</w:t>
      </w:r>
      <w:r>
        <w:rPr>
          <w:rFonts w:hint="eastAsia" w:ascii="宋体" w:hAnsi="宋体" w:cs="宋体"/>
          <w:color w:val="auto"/>
          <w:szCs w:val="21"/>
          <w:highlight w:val="none"/>
        </w:rPr>
        <w:t>采购代理机构对磋商过程和重要磋商内容进行记录，磋商双方在记录上签字确认。</w:t>
      </w:r>
    </w:p>
    <w:p>
      <w:pPr>
        <w:widowControl/>
        <w:tabs>
          <w:tab w:val="left" w:pos="540"/>
        </w:tabs>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3.7</w:t>
      </w:r>
      <w:r>
        <w:rPr>
          <w:rFonts w:hint="eastAsia" w:ascii="宋体" w:hAnsi="宋体" w:cs="宋体"/>
          <w:color w:val="auto"/>
          <w:szCs w:val="21"/>
          <w:highlight w:val="none"/>
        </w:rPr>
        <w:t>磋商过程中重新提交的响应文件，供应商可以在开启前补充、修改。</w:t>
      </w:r>
    </w:p>
    <w:p>
      <w:pPr>
        <w:widowControl/>
        <w:tabs>
          <w:tab w:val="left" w:pos="540"/>
        </w:tabs>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3.8</w:t>
      </w:r>
      <w:r>
        <w:rPr>
          <w:rFonts w:ascii="宋体" w:hAnsi="宋体"/>
          <w:color w:val="auto"/>
          <w:szCs w:val="21"/>
          <w:highlight w:val="none"/>
        </w:rPr>
        <w:t>根据《财政部关于政府采购竞争性磋商采购方式管理暂行办法有关问题的补充通知》（财库〔2015〕124号）的规定，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tabs>
          <w:tab w:val="left" w:pos="2835"/>
        </w:tabs>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3.9</w:t>
      </w:r>
      <w:r>
        <w:rPr>
          <w:rFonts w:hint="eastAsia" w:ascii="宋体" w:hAnsi="宋体"/>
          <w:color w:val="auto"/>
          <w:szCs w:val="21"/>
          <w:highlight w:val="none"/>
        </w:rPr>
        <w:t>对磋商过程提交的响应文件进行有效性、完整性和响应程度审查，通过审查的合格供应商不足3家的，除本章第</w:t>
      </w:r>
      <w:r>
        <w:rPr>
          <w:rFonts w:ascii="宋体" w:hAnsi="宋体"/>
          <w:color w:val="auto"/>
          <w:szCs w:val="21"/>
          <w:highlight w:val="none"/>
        </w:rPr>
        <w:t>3.8</w:t>
      </w:r>
      <w:r>
        <w:rPr>
          <w:rFonts w:hint="eastAsia" w:ascii="宋体" w:hAnsi="宋体"/>
          <w:color w:val="auto"/>
          <w:szCs w:val="21"/>
          <w:highlight w:val="none"/>
        </w:rPr>
        <w:t>条的情形外，采购人或者采购代理机构应当重新开展采购活动。</w:t>
      </w:r>
    </w:p>
    <w:p>
      <w:pPr>
        <w:spacing w:line="360" w:lineRule="auto"/>
        <w:ind w:firstLine="482" w:firstLineChars="200"/>
        <w:rPr>
          <w:rFonts w:ascii="宋体" w:hAnsi="宋体" w:cs="宋体"/>
          <w:color w:val="auto"/>
          <w:szCs w:val="21"/>
          <w:highlight w:val="none"/>
        </w:rPr>
      </w:pPr>
      <w:r>
        <w:rPr>
          <w:rFonts w:ascii="黑体" w:hAnsi="黑体" w:eastAsia="黑体" w:cs="宋体"/>
          <w:b/>
          <w:bCs/>
          <w:color w:val="auto"/>
          <w:sz w:val="24"/>
          <w:highlight w:val="none"/>
        </w:rPr>
        <w:t>4.</w:t>
      </w:r>
      <w:r>
        <w:rPr>
          <w:rFonts w:hint="eastAsia" w:ascii="黑体" w:hAnsi="黑体" w:eastAsia="黑体" w:cs="宋体"/>
          <w:b/>
          <w:bCs/>
          <w:color w:val="auto"/>
          <w:sz w:val="24"/>
          <w:highlight w:val="none"/>
        </w:rPr>
        <w:t xml:space="preserve"> 最后报价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.1</w:t>
      </w:r>
      <w:r>
        <w:rPr>
          <w:rFonts w:hint="eastAsia" w:ascii="宋体" w:hAnsi="宋体" w:cs="宋体"/>
          <w:color w:val="auto"/>
          <w:szCs w:val="21"/>
          <w:highlight w:val="none"/>
        </w:rPr>
        <w:t>磋商文件能够详细列明采购标的的技术、服务要求的，磋商结束后，由磋商小组要求所有继续参加磋商的供应商在规定时间内密封提交最后报价，提交最后报价的供应商不得少于3家，除本章第</w:t>
      </w:r>
      <w:r>
        <w:rPr>
          <w:rFonts w:ascii="宋体" w:hAnsi="宋体" w:cs="宋体"/>
          <w:color w:val="auto"/>
          <w:szCs w:val="21"/>
          <w:highlight w:val="none"/>
        </w:rPr>
        <w:t>4.3</w:t>
      </w:r>
      <w:r>
        <w:rPr>
          <w:rFonts w:hint="eastAsia" w:ascii="宋体" w:hAnsi="宋体" w:cs="宋体"/>
          <w:color w:val="auto"/>
          <w:szCs w:val="21"/>
          <w:highlight w:val="none"/>
        </w:rPr>
        <w:t>条外，否则必须重新采购。</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磋商文件不能详细列明采购标的的技术、服务要求，需经磋商由供应商提供最后设计方案或者解决方案的，磋商结束后，由磋商小组按照少数服从多数的原则投票推荐3家以上供应商的设计方案或者解决方案，并要求其在规定时间内密封提交最后报价。</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4.3</w:t>
      </w:r>
      <w:r>
        <w:rPr>
          <w:rFonts w:hint="eastAsia" w:ascii="宋体" w:hAnsi="宋体" w:cs="宋体"/>
          <w:color w:val="auto"/>
          <w:szCs w:val="21"/>
          <w:highlight w:val="none"/>
        </w:rPr>
        <w:t xml:space="preserve"> 最后报价是供应商响应文件的有效组成部分。符合《政府采购竞争性磋商采购方式管理暂行办法》（财库〔2014〕214号）第三条第四项“市场竞争不充分的科研项目，以及需要扶持的科技成果转化项目”和本章第</w:t>
      </w:r>
      <w:r>
        <w:rPr>
          <w:rFonts w:ascii="宋体" w:hAnsi="宋体" w:cs="宋体"/>
          <w:color w:val="auto"/>
          <w:szCs w:val="21"/>
          <w:highlight w:val="none"/>
        </w:rPr>
        <w:t>3.8</w:t>
      </w:r>
      <w:r>
        <w:rPr>
          <w:rFonts w:hint="eastAsia" w:ascii="宋体" w:hAnsi="宋体" w:cs="宋体"/>
          <w:color w:val="auto"/>
          <w:szCs w:val="21"/>
          <w:highlight w:val="none"/>
        </w:rPr>
        <w:t>条情形的，提交最后报价的供应商可以为2家。</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4.4</w:t>
      </w:r>
      <w:r>
        <w:rPr>
          <w:rFonts w:hint="eastAsia" w:ascii="宋体" w:hAnsi="宋体" w:cs="宋体"/>
          <w:color w:val="auto"/>
          <w:szCs w:val="21"/>
          <w:highlight w:val="none"/>
        </w:rPr>
        <w:t>已经提交响应文件的供应商，在提交最后报价之前，可以根据磋商情况退出磋商，退出磋商的供应商的响应文件按无效响应处理。采购人、采购代理机构将退还退出磋商的供应商的</w:t>
      </w:r>
      <w:r>
        <w:rPr>
          <w:rFonts w:hint="eastAsia"/>
          <w:color w:val="auto"/>
          <w:highlight w:val="none"/>
        </w:rPr>
        <w:t>磋商</w:t>
      </w:r>
      <w:r>
        <w:rPr>
          <w:rFonts w:hint="eastAsia" w:ascii="宋体" w:hAnsi="宋体" w:cs="宋体"/>
          <w:color w:val="auto"/>
          <w:szCs w:val="21"/>
          <w:highlight w:val="none"/>
        </w:rPr>
        <w:t>保证金。</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4.5</w:t>
      </w:r>
      <w:r>
        <w:rPr>
          <w:rFonts w:hint="eastAsia" w:ascii="宋体" w:hAnsi="宋体" w:cs="宋体"/>
          <w:color w:val="auto"/>
          <w:szCs w:val="21"/>
          <w:highlight w:val="none"/>
        </w:rPr>
        <w:t>供应商未在规定时间内提交最后报价的，视为退出磋商，其响应文件作无效处理。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4.6</w:t>
      </w:r>
      <w:r>
        <w:rPr>
          <w:rFonts w:hint="eastAsia" w:ascii="宋体" w:hAnsi="宋体" w:cs="宋体"/>
          <w:color w:val="auto"/>
          <w:szCs w:val="21"/>
          <w:highlight w:val="none"/>
        </w:rPr>
        <w:t>磋商小组收齐某一分标最后报价后统一开启，磋商小组对最后报价进行有效性、完整性和响应程度的审查。</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4.7</w:t>
      </w:r>
      <w:r>
        <w:rPr>
          <w:rFonts w:hint="eastAsia" w:ascii="宋体" w:hAnsi="宋体" w:cs="宋体"/>
          <w:color w:val="auto"/>
          <w:szCs w:val="21"/>
          <w:highlight w:val="none"/>
        </w:rPr>
        <w:t>响应文件最后报价出现前后不一致的，按照本章第</w:t>
      </w:r>
      <w:r>
        <w:rPr>
          <w:rFonts w:ascii="宋体" w:hAnsi="宋体" w:cs="宋体"/>
          <w:color w:val="auto"/>
          <w:szCs w:val="21"/>
          <w:highlight w:val="none"/>
        </w:rPr>
        <w:t>2.4</w:t>
      </w:r>
      <w:r>
        <w:rPr>
          <w:rFonts w:hint="eastAsia" w:ascii="宋体" w:hAnsi="宋体" w:cs="宋体"/>
          <w:color w:val="auto"/>
          <w:szCs w:val="21"/>
          <w:highlight w:val="none"/>
        </w:rPr>
        <w:t xml:space="preserve">条的规定修正。 </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4.8</w:t>
      </w:r>
      <w:r>
        <w:rPr>
          <w:rFonts w:hint="eastAsia" w:ascii="宋体" w:hAnsi="宋体" w:cs="宋体"/>
          <w:color w:val="auto"/>
          <w:szCs w:val="21"/>
          <w:highlight w:val="none"/>
        </w:rPr>
        <w:t>修正后的报价出现下列情形的，按无效响应处理：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（1）供应商不确认的；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（2）经供应商确认修正后的竞标报价（包含首次报价、最后报价）超过所竞标分标规定的采购预算金额或者最高限价的（如本项目公布了最高限价）；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（3）经供应商确认修正后的竞标报价（包含首次报价、最后报价）超过分项采购预算金额或者最高限价的（如本项目公布了最高限价）。</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4.9</w:t>
      </w:r>
      <w:r>
        <w:rPr>
          <w:rFonts w:hint="eastAsia" w:ascii="宋体" w:hAnsi="宋体" w:cs="宋体"/>
          <w:color w:val="auto"/>
          <w:szCs w:val="21"/>
          <w:highlight w:val="none"/>
        </w:rPr>
        <w:t>经供应商确认修正后的最后报价作为评审及签订合同的依据。</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4.10</w:t>
      </w:r>
      <w:r>
        <w:rPr>
          <w:rFonts w:hint="eastAsia" w:ascii="宋体" w:hAnsi="宋体" w:cs="宋体"/>
          <w:color w:val="auto"/>
          <w:szCs w:val="21"/>
          <w:highlight w:val="none"/>
        </w:rPr>
        <w:t>最后报价结束后，磋商小组不得再与供应商进行任何形式的商谈。</w:t>
      </w:r>
    </w:p>
    <w:p>
      <w:pPr>
        <w:spacing w:line="360" w:lineRule="auto"/>
        <w:ind w:firstLine="482" w:firstLineChars="200"/>
        <w:rPr>
          <w:rFonts w:ascii="黑体" w:hAnsi="黑体" w:eastAsia="黑体" w:cs="宋体"/>
          <w:b/>
          <w:bCs/>
          <w:color w:val="auto"/>
          <w:sz w:val="24"/>
          <w:highlight w:val="none"/>
        </w:rPr>
      </w:pPr>
      <w:r>
        <w:rPr>
          <w:rFonts w:hint="eastAsia" w:ascii="黑体" w:hAnsi="黑体" w:eastAsia="黑体" w:cs="宋体"/>
          <w:b/>
          <w:bCs/>
          <w:color w:val="auto"/>
          <w:sz w:val="24"/>
          <w:highlight w:val="none"/>
        </w:rPr>
        <w:t>5</w:t>
      </w:r>
      <w:r>
        <w:rPr>
          <w:rFonts w:ascii="黑体" w:hAnsi="黑体" w:eastAsia="黑体" w:cs="宋体"/>
          <w:b/>
          <w:bCs/>
          <w:color w:val="auto"/>
          <w:sz w:val="24"/>
          <w:highlight w:val="none"/>
        </w:rPr>
        <w:t>.</w:t>
      </w:r>
      <w:r>
        <w:rPr>
          <w:rFonts w:hint="eastAsia" w:ascii="黑体" w:hAnsi="黑体" w:eastAsia="黑体" w:cs="宋体"/>
          <w:b/>
          <w:bCs/>
          <w:color w:val="auto"/>
          <w:sz w:val="24"/>
          <w:highlight w:val="none"/>
        </w:rPr>
        <w:t>比较与评价</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5.1</w:t>
      </w:r>
      <w:r>
        <w:rPr>
          <w:rFonts w:hint="eastAsia" w:ascii="宋体" w:hAnsi="宋体" w:cs="宋体"/>
          <w:color w:val="auto"/>
          <w:szCs w:val="21"/>
          <w:highlight w:val="none"/>
        </w:rPr>
        <w:t>评审方法：综合评分法。</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5.2</w:t>
      </w:r>
      <w:r>
        <w:rPr>
          <w:rFonts w:hint="eastAsia" w:ascii="宋体" w:hAnsi="宋体" w:cs="宋体"/>
          <w:color w:val="auto"/>
          <w:szCs w:val="21"/>
          <w:highlight w:val="none"/>
        </w:rPr>
        <w:t>经磋商确定最终采购需求和提交最后报价的供应商后，由磋商小组采用综合评分法对提交最后报价的供应商的响应文件和最后报价进行综合评分。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5.3</w:t>
      </w:r>
      <w:r>
        <w:rPr>
          <w:rFonts w:hint="eastAsia" w:ascii="宋体" w:hAnsi="宋体" w:cs="宋体"/>
          <w:color w:val="auto"/>
          <w:szCs w:val="21"/>
          <w:highlight w:val="none"/>
        </w:rPr>
        <w:t>评审时，磋商小组各成员应当独立对每个有效响应的文件进行评价、打分，然后汇总每个供应商每项评分因素的得分。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（1）磋商小组按照磋商文件中规定的评审标准计算各供应商的报价得分。项目评审过程中，不得去掉最后报价中的最高报价和最低报价。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（2）各供应商的得分为磋商小组所有成员的有效评分的算术平均数。</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5.4</w:t>
      </w:r>
      <w:r>
        <w:rPr>
          <w:rFonts w:hint="eastAsia" w:ascii="宋体" w:hAnsi="宋体" w:cs="宋体"/>
          <w:color w:val="auto"/>
          <w:szCs w:val="21"/>
          <w:highlight w:val="none"/>
        </w:rPr>
        <w:t>评审价为供应商的最后报价进行政策性扣除后的价格，评审价只是作为评审时使用。最终成交供应商的成交金额等于最后报价（如有修正，以确认修正后的最后报价为准）。</w:t>
      </w:r>
    </w:p>
    <w:p>
      <w:pPr>
        <w:spacing w:line="360" w:lineRule="auto"/>
        <w:ind w:firstLine="420" w:firstLineChars="200"/>
        <w:rPr>
          <w:rFonts w:ascii="宋体" w:hAnsi="宋体"/>
          <w:color w:val="auto"/>
          <w:kern w:val="0"/>
          <w:szCs w:val="21"/>
          <w:highlight w:val="none"/>
        </w:rPr>
      </w:pPr>
      <w:r>
        <w:rPr>
          <w:rFonts w:ascii="宋体" w:hAnsi="宋体" w:cs="宋体"/>
          <w:color w:val="auto"/>
          <w:szCs w:val="21"/>
          <w:highlight w:val="none"/>
        </w:rPr>
        <w:t>5.5</w:t>
      </w:r>
      <w:r>
        <w:rPr>
          <w:rFonts w:hint="eastAsia" w:ascii="宋体" w:hAnsi="宋体" w:cs="宋体"/>
          <w:color w:val="auto"/>
          <w:szCs w:val="21"/>
          <w:highlight w:val="none"/>
        </w:rPr>
        <w:t>由磋商小组根据综合评分情况，按照评审得分由高到低顺序推荐3名以上成交候选供应商，并编写评</w:t>
      </w:r>
      <w:r>
        <w:rPr>
          <w:rFonts w:hint="eastAsia" w:ascii="宋体" w:hAnsi="宋体"/>
          <w:color w:val="auto"/>
          <w:kern w:val="0"/>
          <w:szCs w:val="21"/>
          <w:highlight w:val="none"/>
        </w:rPr>
        <w:t>审报告。符合本章第</w:t>
      </w:r>
      <w:r>
        <w:rPr>
          <w:rFonts w:ascii="宋体" w:hAnsi="宋体"/>
          <w:color w:val="auto"/>
          <w:kern w:val="0"/>
          <w:szCs w:val="21"/>
          <w:highlight w:val="none"/>
        </w:rPr>
        <w:t>4.3</w:t>
      </w:r>
      <w:r>
        <w:rPr>
          <w:rFonts w:hint="eastAsia" w:ascii="宋体" w:hAnsi="宋体"/>
          <w:color w:val="auto"/>
          <w:kern w:val="0"/>
          <w:szCs w:val="21"/>
          <w:highlight w:val="none"/>
        </w:rPr>
        <w:t>条情形的，可以推荐2家成交候选供应商。评审得分相同的，按照最后报价由低到高的顺序推荐。评审得分且最后报价相同的，按照技术指标优劣顺序推荐。</w:t>
      </w:r>
    </w:p>
    <w:p>
      <w:pPr>
        <w:spacing w:line="360" w:lineRule="auto"/>
        <w:ind w:firstLine="420" w:firstLineChars="200"/>
        <w:rPr>
          <w:rFonts w:ascii="宋体" w:hAnsi="宋体" w:cs="宋体"/>
          <w:color w:val="auto"/>
          <w:szCs w:val="21"/>
          <w:highlight w:val="none"/>
        </w:rPr>
      </w:pPr>
      <w:r>
        <w:rPr>
          <w:rFonts w:ascii="宋体" w:hAnsi="宋体"/>
          <w:color w:val="auto"/>
          <w:kern w:val="0"/>
          <w:szCs w:val="21"/>
          <w:highlight w:val="none"/>
        </w:rPr>
        <w:t>5.6</w:t>
      </w:r>
      <w:r>
        <w:rPr>
          <w:rFonts w:hint="eastAsia" w:ascii="宋体" w:hAnsi="宋体"/>
          <w:color w:val="auto"/>
          <w:kern w:val="0"/>
          <w:szCs w:val="21"/>
          <w:highlight w:val="none"/>
        </w:rPr>
        <w:t>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360" w:lineRule="auto"/>
        <w:ind w:firstLine="643" w:firstLineChars="200"/>
        <w:jc w:val="center"/>
        <w:rPr>
          <w:rFonts w:ascii="宋体" w:hAnsi="宋体"/>
          <w:b/>
          <w:color w:val="auto"/>
          <w:sz w:val="32"/>
          <w:szCs w:val="32"/>
          <w:highlight w:val="none"/>
        </w:rPr>
      </w:pPr>
      <w:r>
        <w:rPr>
          <w:rFonts w:hint="eastAsia" w:ascii="宋体" w:hAnsi="宋体"/>
          <w:b/>
          <w:color w:val="auto"/>
          <w:sz w:val="32"/>
          <w:szCs w:val="32"/>
          <w:highlight w:val="none"/>
        </w:rPr>
        <w:t>二、评审标准</w:t>
      </w:r>
    </w:p>
    <w:p>
      <w:pPr>
        <w:spacing w:line="360" w:lineRule="auto"/>
        <w:ind w:firstLine="420" w:firstLineChars="200"/>
        <w:rPr>
          <w:rFonts w:ascii="宋体" w:hAnsi="宋体"/>
          <w:bCs/>
          <w:color w:val="auto"/>
          <w:szCs w:val="21"/>
          <w:highlight w:val="none"/>
        </w:rPr>
      </w:pPr>
      <w:r>
        <w:rPr>
          <w:rFonts w:hint="eastAsia" w:ascii="宋体" w:hAnsi="宋体"/>
          <w:bCs/>
          <w:color w:val="auto"/>
          <w:szCs w:val="21"/>
          <w:highlight w:val="none"/>
        </w:rPr>
        <w:t>6</w:t>
      </w:r>
      <w:r>
        <w:rPr>
          <w:rFonts w:ascii="宋体" w:hAnsi="宋体"/>
          <w:bCs/>
          <w:color w:val="auto"/>
          <w:szCs w:val="21"/>
          <w:highlight w:val="none"/>
        </w:rPr>
        <w:t>.</w:t>
      </w:r>
      <w:r>
        <w:rPr>
          <w:rFonts w:hint="eastAsia" w:ascii="宋体" w:hAnsi="宋体"/>
          <w:bCs/>
          <w:color w:val="auto"/>
          <w:szCs w:val="21"/>
          <w:highlight w:val="none"/>
        </w:rPr>
        <w:t>评审依据：磋商小组将以磋商响应文件为评审依据，对供应商的报价、技术、商务等方面内容按百分制打分。（计分方法按四舍五入取至百分位）</w:t>
      </w:r>
    </w:p>
    <w:tbl>
      <w:tblPr>
        <w:tblStyle w:val="25"/>
        <w:tblW w:w="0" w:type="auto"/>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762"/>
        <w:gridCol w:w="1131"/>
        <w:gridCol w:w="6166"/>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noWrap w:val="0"/>
            <w:vAlign w:val="center"/>
          </w:tcPr>
          <w:p>
            <w:pPr>
              <w:spacing w:line="360" w:lineRule="auto"/>
              <w:jc w:val="center"/>
              <w:rPr>
                <w:rFonts w:hint="eastAsia"/>
                <w:bCs/>
                <w:color w:val="auto"/>
                <w:szCs w:val="21"/>
                <w:highlight w:val="none"/>
              </w:rPr>
            </w:pPr>
            <w:bookmarkStart w:id="41" w:name="_Toc514340099"/>
            <w:r>
              <w:rPr>
                <w:rFonts w:hint="eastAsia"/>
                <w:bCs/>
                <w:color w:val="auto"/>
                <w:szCs w:val="21"/>
                <w:highlight w:val="none"/>
              </w:rPr>
              <w:t>序号</w:t>
            </w:r>
          </w:p>
        </w:tc>
        <w:tc>
          <w:tcPr>
            <w:tcW w:w="762" w:type="dxa"/>
            <w:noWrap w:val="0"/>
            <w:vAlign w:val="center"/>
          </w:tcPr>
          <w:p>
            <w:pPr>
              <w:spacing w:line="360" w:lineRule="auto"/>
              <w:jc w:val="center"/>
              <w:rPr>
                <w:rFonts w:hint="eastAsia"/>
                <w:bCs/>
                <w:color w:val="auto"/>
                <w:szCs w:val="21"/>
                <w:highlight w:val="none"/>
              </w:rPr>
            </w:pPr>
            <w:r>
              <w:rPr>
                <w:rFonts w:hint="eastAsia"/>
                <w:bCs/>
                <w:color w:val="auto"/>
                <w:szCs w:val="21"/>
                <w:highlight w:val="none"/>
              </w:rPr>
              <w:t>评分类型</w:t>
            </w:r>
          </w:p>
        </w:tc>
        <w:tc>
          <w:tcPr>
            <w:tcW w:w="7297" w:type="dxa"/>
            <w:gridSpan w:val="2"/>
            <w:noWrap w:val="0"/>
            <w:vAlign w:val="center"/>
          </w:tcPr>
          <w:p>
            <w:pPr>
              <w:spacing w:line="360" w:lineRule="auto"/>
              <w:jc w:val="center"/>
              <w:rPr>
                <w:rFonts w:hint="eastAsia"/>
                <w:bCs/>
                <w:color w:val="auto"/>
                <w:szCs w:val="21"/>
                <w:highlight w:val="none"/>
              </w:rPr>
            </w:pPr>
            <w:r>
              <w:rPr>
                <w:rFonts w:hint="eastAsia"/>
                <w:bCs/>
                <w:color w:val="auto"/>
                <w:szCs w:val="21"/>
                <w:highlight w:val="none"/>
              </w:rPr>
              <w:t>评分标准</w:t>
            </w:r>
          </w:p>
        </w:tc>
        <w:tc>
          <w:tcPr>
            <w:tcW w:w="957" w:type="dxa"/>
            <w:noWrap w:val="0"/>
            <w:vAlign w:val="center"/>
          </w:tcPr>
          <w:p>
            <w:pPr>
              <w:spacing w:line="360" w:lineRule="auto"/>
              <w:jc w:val="center"/>
              <w:rPr>
                <w:rFonts w:hint="eastAsia"/>
                <w:bCs/>
                <w:color w:val="auto"/>
                <w:szCs w:val="21"/>
                <w:highlight w:val="none"/>
              </w:rPr>
            </w:pPr>
            <w:r>
              <w:rPr>
                <w:rFonts w:hint="eastAsia"/>
                <w:bCs/>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583" w:type="dxa"/>
            <w:noWrap w:val="0"/>
            <w:vAlign w:val="center"/>
          </w:tcPr>
          <w:p>
            <w:pPr>
              <w:spacing w:line="360" w:lineRule="auto"/>
              <w:jc w:val="center"/>
              <w:rPr>
                <w:rFonts w:hint="eastAsia"/>
                <w:bCs/>
                <w:color w:val="auto"/>
                <w:szCs w:val="21"/>
                <w:highlight w:val="none"/>
              </w:rPr>
            </w:pPr>
            <w:r>
              <w:rPr>
                <w:rFonts w:hint="eastAsia" w:ascii="宋体" w:hAnsi="宋体" w:eastAsia="宋体" w:cs="宋体"/>
                <w:bCs/>
                <w:color w:val="auto"/>
                <w:szCs w:val="21"/>
                <w:highlight w:val="none"/>
              </w:rPr>
              <w:t>1</w:t>
            </w:r>
          </w:p>
        </w:tc>
        <w:tc>
          <w:tcPr>
            <w:tcW w:w="762" w:type="dxa"/>
            <w:noWrap w:val="0"/>
            <w:vAlign w:val="center"/>
          </w:tcPr>
          <w:p>
            <w:pPr>
              <w:spacing w:line="360" w:lineRule="auto"/>
              <w:jc w:val="center"/>
              <w:rPr>
                <w:rFonts w:hint="eastAsia"/>
                <w:bCs/>
                <w:color w:val="auto"/>
                <w:szCs w:val="21"/>
                <w:highlight w:val="none"/>
              </w:rPr>
            </w:pPr>
            <w:r>
              <w:rPr>
                <w:rFonts w:hint="eastAsia"/>
                <w:bCs/>
                <w:color w:val="auto"/>
                <w:szCs w:val="21"/>
                <w:highlight w:val="none"/>
              </w:rPr>
              <w:t>报价</w:t>
            </w:r>
          </w:p>
        </w:tc>
        <w:tc>
          <w:tcPr>
            <w:tcW w:w="7297" w:type="dxa"/>
            <w:gridSpan w:val="2"/>
            <w:noWrap w:val="0"/>
            <w:vAlign w:val="top"/>
          </w:tcPr>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1.评审报价为供应商的最后报价进行政策性扣除后的价格，评审报价只是作为评审时使用。最终成交供应商的成交金额等于最后报价（如有修正，以确认修正后的最后报价为准）。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2.政府采购政策性扣除计算方法</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（1）按照《政府采购促进中小企业发展管理办法》（财库〔2020〕46号））及《广西壮族自治区财政厅关于贯彻落实政府采购支持中小企业发展政策的通知》（桂财采〔2022〕31号）的规定，</w:t>
            </w:r>
            <w:r>
              <w:rPr>
                <w:rFonts w:hint="eastAsia" w:ascii="宋体" w:hAnsi="宋体" w:eastAsia="宋体" w:cs="宋体"/>
                <w:color w:val="auto"/>
                <w:highlight w:val="none"/>
                <w:lang w:eastAsia="zh-CN"/>
              </w:rPr>
              <w:t>供应商在其</w:t>
            </w:r>
            <w:r>
              <w:rPr>
                <w:rFonts w:hint="eastAsia" w:ascii="宋体" w:hAnsi="宋体" w:eastAsia="宋体" w:cs="宋体"/>
                <w:color w:val="auto"/>
                <w:highlight w:val="none"/>
              </w:rPr>
              <w:t>响应文件中提供《中小企业声明函》，</w:t>
            </w:r>
            <w:r>
              <w:rPr>
                <w:rFonts w:hint="eastAsia" w:ascii="宋体" w:hAnsi="宋体" w:eastAsia="宋体" w:cs="宋体"/>
                <w:color w:val="auto"/>
                <w:highlight w:val="none"/>
                <w:lang w:val="en-US" w:eastAsia="zh-CN"/>
              </w:rPr>
              <w:t>且服务全部由符合政策要求的小型、微型企业承接的</w:t>
            </w:r>
            <w:r>
              <w:rPr>
                <w:rFonts w:hint="eastAsia" w:ascii="宋体" w:hAnsi="宋体" w:eastAsia="宋体" w:cs="宋体"/>
                <w:color w:val="auto"/>
                <w:highlight w:val="none"/>
              </w:rPr>
              <w:t>，对其最后报价给予</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%的扣除。</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按照《财政部、司法部关于政府采购支持监狱企业发展有关问题的通知》（财库〔2014〕68号）的规定，监狱企业视同小型、微型企业，享受预留份额、评审中价格扣除等促进中小企业发展的政府采购政策。监狱企业参加政府采购活动时，应当提供由省级以上监狱管理局、戒毒管理局(含新疆生产建设兵团)出具的属于监狱企业的证明文件。不重复享受政策。</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按照《关于促进残疾人就业政府采购政策的通知》（财库〔2017〕141号）的规定，残疾人福利性单位视同小型、微型企业，享受预留份额、评审中价格扣除等促进中小企业发展的政府采购政策。残疾人福利性单位参加政府采购活动时，应当提供该通知规定的《残疾人福利性单位声明函》，并对声明的真实性负责。残疾人福利性单位属于小型、微型企业的，不重复享受政策。</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（4）政策性扣除计算方法。</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供应商被评定为监狱企业或者残疾人福利性单位或者</w:t>
            </w:r>
            <w:r>
              <w:rPr>
                <w:rFonts w:hint="eastAsia" w:ascii="宋体" w:hAnsi="宋体" w:eastAsia="宋体" w:cs="宋体"/>
                <w:color w:val="auto"/>
                <w:highlight w:val="none"/>
                <w:lang w:eastAsia="zh-CN"/>
              </w:rPr>
              <w:t>其</w:t>
            </w:r>
            <w:r>
              <w:rPr>
                <w:rFonts w:hint="eastAsia" w:ascii="宋体" w:hAnsi="宋体" w:eastAsia="宋体" w:cs="宋体"/>
                <w:color w:val="auto"/>
                <w:highlight w:val="none"/>
                <w:lang w:val="en-US" w:eastAsia="zh-CN"/>
              </w:rPr>
              <w:t>服务全部由符合政策要求的小型、微型企业承接的</w:t>
            </w:r>
            <w:r>
              <w:rPr>
                <w:rFonts w:hint="eastAsia" w:ascii="宋体" w:hAnsi="宋体" w:eastAsia="宋体" w:cs="宋体"/>
                <w:color w:val="auto"/>
                <w:highlight w:val="none"/>
              </w:rPr>
              <w:t>，该供应商的最后报价给予</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0%的扣除，扣除后的价格为评审</w:t>
            </w:r>
            <w:r>
              <w:rPr>
                <w:rFonts w:hint="eastAsia" w:ascii="宋体" w:hAnsi="宋体" w:eastAsia="宋体" w:cs="宋体"/>
                <w:color w:val="auto"/>
                <w:highlight w:val="none"/>
                <w:lang w:eastAsia="zh-CN"/>
              </w:rPr>
              <w:t>报</w:t>
            </w:r>
            <w:r>
              <w:rPr>
                <w:rFonts w:hint="eastAsia" w:ascii="宋体" w:hAnsi="宋体" w:eastAsia="宋体" w:cs="宋体"/>
                <w:color w:val="auto"/>
                <w:highlight w:val="none"/>
              </w:rPr>
              <w:t>价，即评审</w:t>
            </w:r>
            <w:r>
              <w:rPr>
                <w:rFonts w:hint="eastAsia" w:ascii="宋体" w:hAnsi="宋体" w:eastAsia="宋体" w:cs="宋体"/>
                <w:color w:val="auto"/>
                <w:highlight w:val="none"/>
                <w:lang w:eastAsia="zh-CN"/>
              </w:rPr>
              <w:t>报</w:t>
            </w:r>
            <w:r>
              <w:rPr>
                <w:rFonts w:hint="eastAsia" w:ascii="宋体" w:hAnsi="宋体" w:eastAsia="宋体" w:cs="宋体"/>
                <w:color w:val="auto"/>
                <w:highlight w:val="none"/>
              </w:rPr>
              <w:t>价=最后报价×（1-</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0%）；接受大中型企业与小微企业组成联合体或者允许大中型企业向一家或者多家小微企业分包的采购项目，对于联合协议或者分包意向协议约定小微企业的合同份额占到合同总金额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%的扣除，用扣除后的价格参加评审，扣除后的价格为评审</w:t>
            </w:r>
            <w:r>
              <w:rPr>
                <w:rFonts w:hint="eastAsia" w:ascii="宋体" w:hAnsi="宋体" w:eastAsia="宋体" w:cs="宋体"/>
                <w:color w:val="auto"/>
                <w:highlight w:val="none"/>
                <w:lang w:eastAsia="zh-CN"/>
              </w:rPr>
              <w:t>报</w:t>
            </w:r>
            <w:r>
              <w:rPr>
                <w:rFonts w:hint="eastAsia" w:ascii="宋体" w:hAnsi="宋体" w:eastAsia="宋体" w:cs="宋体"/>
                <w:color w:val="auto"/>
                <w:highlight w:val="none"/>
              </w:rPr>
              <w:t>价，即评审</w:t>
            </w:r>
            <w:r>
              <w:rPr>
                <w:rFonts w:hint="eastAsia" w:ascii="宋体" w:hAnsi="宋体" w:eastAsia="宋体" w:cs="宋体"/>
                <w:color w:val="auto"/>
                <w:highlight w:val="none"/>
                <w:lang w:eastAsia="zh-CN"/>
              </w:rPr>
              <w:t>报</w:t>
            </w:r>
            <w:r>
              <w:rPr>
                <w:rFonts w:hint="eastAsia" w:ascii="宋体" w:hAnsi="宋体" w:eastAsia="宋体" w:cs="宋体"/>
                <w:color w:val="auto"/>
                <w:highlight w:val="none"/>
              </w:rPr>
              <w:t>价=最后报价×（1-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（5）除上述情况外，评审报价＝最后报价。</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（6）以进入比较与评价环节的最低的评审报价为基准价，基准价得分为</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分。</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（7）价格分计算公式：</w:t>
            </w:r>
          </w:p>
          <w:p>
            <w:pPr>
              <w:spacing w:line="360" w:lineRule="auto"/>
              <w:ind w:firstLine="420" w:firstLineChars="200"/>
              <w:rPr>
                <w:rFonts w:hint="eastAsia"/>
                <w:color w:val="auto"/>
                <w:highlight w:val="none"/>
              </w:rPr>
            </w:pPr>
            <w:r>
              <w:rPr>
                <w:rFonts w:hint="eastAsia" w:ascii="宋体" w:hAnsi="宋体" w:eastAsia="宋体" w:cs="宋体"/>
                <w:color w:val="auto"/>
                <w:highlight w:val="none"/>
              </w:rPr>
              <w:t>报价得分=（基准价/评审报价）×</w:t>
            </w:r>
            <w:r>
              <w:rPr>
                <w:rFonts w:hint="eastAsia" w:ascii="宋体" w:hAnsi="宋体" w:eastAsia="宋体" w:cs="宋体"/>
                <w:color w:val="auto"/>
                <w:highlight w:val="none"/>
                <w:lang w:val="en-US" w:eastAsia="zh-CN"/>
              </w:rPr>
              <w:t>10</w:t>
            </w:r>
            <w:r>
              <w:rPr>
                <w:rFonts w:hint="eastAsia" w:ascii="宋体" w:hAnsi="宋体" w:eastAsia="宋体" w:cs="宋体"/>
                <w:color w:val="auto"/>
                <w:highlight w:val="none"/>
              </w:rPr>
              <w:t>分</w:t>
            </w:r>
          </w:p>
        </w:tc>
        <w:tc>
          <w:tcPr>
            <w:tcW w:w="957" w:type="dxa"/>
            <w:noWrap w:val="0"/>
            <w:vAlign w:val="center"/>
          </w:tcPr>
          <w:p>
            <w:pPr>
              <w:spacing w:line="360" w:lineRule="auto"/>
              <w:jc w:val="center"/>
              <w:rPr>
                <w:rFonts w:hint="eastAsia"/>
                <w:bCs/>
                <w:color w:val="auto"/>
                <w:szCs w:val="21"/>
                <w:highlight w:val="none"/>
              </w:rPr>
            </w:pPr>
            <w:r>
              <w:rPr>
                <w:rFonts w:hint="eastAsia" w:ascii="宋体" w:hAnsi="宋体" w:cs="Tahoma"/>
                <w:color w:val="auto"/>
                <w:kern w:val="0"/>
                <w:szCs w:val="21"/>
                <w:highlight w:val="none"/>
                <w:lang w:val="en-US" w:eastAsia="zh-CN"/>
              </w:rPr>
              <w:t>10</w:t>
            </w:r>
            <w:r>
              <w:rPr>
                <w:rFonts w:hint="eastAsia" w:ascii="宋体" w:hAnsi="宋体" w:cs="Tahoma"/>
                <w:color w:val="auto"/>
                <w:kern w:val="0"/>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restart"/>
            <w:noWrap w:val="0"/>
            <w:vAlign w:val="center"/>
          </w:tcPr>
          <w:p>
            <w:pPr>
              <w:spacing w:line="360" w:lineRule="auto"/>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2</w:t>
            </w:r>
          </w:p>
        </w:tc>
        <w:tc>
          <w:tcPr>
            <w:tcW w:w="762" w:type="dxa"/>
            <w:vMerge w:val="restart"/>
            <w:noWrap w:val="0"/>
            <w:vAlign w:val="center"/>
          </w:tcPr>
          <w:p>
            <w:pPr>
              <w:spacing w:line="36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技术</w:t>
            </w:r>
            <w:r>
              <w:rPr>
                <w:rFonts w:hint="eastAsia" w:ascii="宋体" w:hAnsi="宋体" w:eastAsia="宋体" w:cs="宋体"/>
                <w:bCs/>
                <w:color w:val="auto"/>
                <w:szCs w:val="21"/>
                <w:highlight w:val="none"/>
                <w:lang w:eastAsia="zh-CN"/>
              </w:rPr>
              <w:t>分</w:t>
            </w:r>
          </w:p>
        </w:tc>
        <w:tc>
          <w:tcPr>
            <w:tcW w:w="1131" w:type="dxa"/>
            <w:noWrap w:val="0"/>
            <w:vAlign w:val="center"/>
          </w:tcPr>
          <w:p>
            <w:pPr>
              <w:pStyle w:val="15"/>
              <w:spacing w:line="460" w:lineRule="exact"/>
              <w:jc w:val="both"/>
              <w:rPr>
                <w:rFonts w:hint="eastAsia" w:hAnsi="宋体" w:cs="宋体"/>
                <w:b w:val="0"/>
                <w:bCs w:val="0"/>
                <w:color w:val="auto"/>
                <w:sz w:val="21"/>
                <w:szCs w:val="21"/>
                <w:highlight w:val="none"/>
              </w:rPr>
            </w:pPr>
            <w:r>
              <w:rPr>
                <w:rFonts w:hint="eastAsia" w:hAnsi="宋体" w:cs="宋体"/>
                <w:b w:val="0"/>
                <w:bCs w:val="0"/>
                <w:color w:val="auto"/>
                <w:sz w:val="21"/>
                <w:szCs w:val="21"/>
                <w:highlight w:val="none"/>
                <w:lang w:eastAsia="zh-CN"/>
              </w:rPr>
              <w:t>培训目标定位及对象分析分</w:t>
            </w:r>
            <w:r>
              <w:rPr>
                <w:rFonts w:hint="eastAsia" w:hAnsi="宋体" w:cs="宋体"/>
                <w:b w:val="0"/>
                <w:bCs w:val="0"/>
                <w:color w:val="auto"/>
                <w:sz w:val="21"/>
                <w:szCs w:val="21"/>
                <w:highlight w:val="none"/>
              </w:rPr>
              <w:t>（满分</w:t>
            </w:r>
            <w:r>
              <w:rPr>
                <w:rFonts w:hint="eastAsia" w:hAnsi="宋体" w:cs="宋体"/>
                <w:b w:val="0"/>
                <w:bCs w:val="0"/>
                <w:color w:val="auto"/>
                <w:sz w:val="21"/>
                <w:szCs w:val="21"/>
                <w:highlight w:val="none"/>
                <w:lang w:val="en-US" w:eastAsia="zh-CN"/>
              </w:rPr>
              <w:t>6</w:t>
            </w:r>
            <w:r>
              <w:rPr>
                <w:rFonts w:hint="eastAsia" w:hAnsi="宋体" w:cs="宋体"/>
                <w:b w:val="0"/>
                <w:bCs w:val="0"/>
                <w:color w:val="auto"/>
                <w:sz w:val="21"/>
                <w:szCs w:val="21"/>
                <w:highlight w:val="none"/>
              </w:rPr>
              <w:t>分）</w:t>
            </w:r>
          </w:p>
          <w:p>
            <w:pPr>
              <w:pStyle w:val="15"/>
              <w:spacing w:line="460" w:lineRule="exact"/>
              <w:jc w:val="center"/>
              <w:rPr>
                <w:rFonts w:hint="eastAsia" w:ascii="宋体" w:hAnsi="宋体" w:eastAsia="宋体" w:cs="宋体"/>
                <w:b w:val="0"/>
                <w:bCs w:val="0"/>
                <w:color w:val="auto"/>
                <w:highlight w:val="none"/>
              </w:rPr>
            </w:pPr>
          </w:p>
        </w:tc>
        <w:tc>
          <w:tcPr>
            <w:tcW w:w="6166" w:type="dxa"/>
            <w:noWrap w:val="0"/>
            <w:vAlign w:val="center"/>
          </w:tcPr>
          <w:p>
            <w:pPr>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一档（1分）∶</w:t>
            </w:r>
            <w:r>
              <w:rPr>
                <w:rFonts w:hint="eastAsia" w:ascii="宋体" w:hAnsi="宋体" w:eastAsia="宋体" w:cs="宋体"/>
                <w:b w:val="0"/>
                <w:bCs w:val="0"/>
                <w:color w:val="auto"/>
                <w:sz w:val="21"/>
                <w:szCs w:val="21"/>
                <w:highlight w:val="none"/>
                <w:lang w:eastAsia="zh-CN"/>
              </w:rPr>
              <w:t>培训</w:t>
            </w:r>
            <w:r>
              <w:rPr>
                <w:rFonts w:hint="eastAsia" w:ascii="宋体" w:hAnsi="宋体" w:eastAsia="宋体" w:cs="宋体"/>
                <w:b w:val="0"/>
                <w:bCs w:val="0"/>
                <w:color w:val="auto"/>
                <w:sz w:val="21"/>
                <w:szCs w:val="21"/>
                <w:highlight w:val="none"/>
              </w:rPr>
              <w:t>目标定位合理，指向不够明确，类别细分模糊</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需求分析到位</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基本满足项目需求。</w:t>
            </w:r>
          </w:p>
          <w:p>
            <w:pPr>
              <w:spacing w:line="460" w:lineRule="exact"/>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二</w:t>
            </w:r>
            <w:r>
              <w:rPr>
                <w:rFonts w:hint="eastAsia" w:ascii="宋体" w:hAnsi="宋体" w:eastAsia="宋体" w:cs="宋体"/>
                <w:b w:val="0"/>
                <w:bCs w:val="0"/>
                <w:color w:val="auto"/>
                <w:sz w:val="21"/>
                <w:szCs w:val="21"/>
                <w:highlight w:val="none"/>
                <w:lang w:eastAsia="zh-CN"/>
              </w:rPr>
              <w:t>档</w:t>
            </w:r>
            <w:r>
              <w:rPr>
                <w:rFonts w:hint="eastAsia" w:ascii="宋体" w:hAnsi="宋体" w:eastAsia="宋体" w:cs="宋体"/>
                <w:b w:val="0"/>
                <w:bCs w:val="0"/>
                <w:color w:val="auto"/>
                <w:sz w:val="21"/>
                <w:szCs w:val="21"/>
                <w:highlight w:val="none"/>
              </w:rPr>
              <w:t>（3分）∶</w:t>
            </w:r>
            <w:r>
              <w:rPr>
                <w:rFonts w:hint="eastAsia" w:ascii="宋体" w:hAnsi="宋体" w:eastAsia="宋体" w:cs="宋体"/>
                <w:b w:val="0"/>
                <w:bCs w:val="0"/>
                <w:color w:val="auto"/>
                <w:sz w:val="21"/>
                <w:szCs w:val="21"/>
                <w:highlight w:val="none"/>
                <w:lang w:eastAsia="zh-CN"/>
              </w:rPr>
              <w:t>培训</w:t>
            </w:r>
            <w:r>
              <w:rPr>
                <w:rFonts w:hint="eastAsia" w:ascii="宋体" w:hAnsi="宋体" w:eastAsia="宋体" w:cs="宋体"/>
                <w:b w:val="0"/>
                <w:bCs w:val="0"/>
                <w:color w:val="auto"/>
                <w:sz w:val="21"/>
                <w:szCs w:val="21"/>
                <w:highlight w:val="none"/>
              </w:rPr>
              <w:t>目标</w:t>
            </w:r>
            <w:r>
              <w:rPr>
                <w:rFonts w:hint="eastAsia" w:ascii="宋体" w:hAnsi="宋体" w:eastAsia="宋体" w:cs="宋体"/>
                <w:b w:val="0"/>
                <w:bCs w:val="0"/>
                <w:color w:val="auto"/>
                <w:sz w:val="21"/>
                <w:szCs w:val="21"/>
                <w:highlight w:val="none"/>
                <w:lang w:eastAsia="zh-CN"/>
              </w:rPr>
              <w:t>定</w:t>
            </w:r>
            <w:r>
              <w:rPr>
                <w:rFonts w:hint="eastAsia" w:ascii="宋体" w:hAnsi="宋体" w:eastAsia="宋体" w:cs="宋体"/>
                <w:b w:val="0"/>
                <w:bCs w:val="0"/>
                <w:color w:val="auto"/>
                <w:sz w:val="21"/>
                <w:szCs w:val="21"/>
                <w:highlight w:val="none"/>
              </w:rPr>
              <w:t>位准确，指向明确，类别细分，因材施教，</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针对性，对参训对象的薄弱环节分析到位，共性需求与个性需求分析精准</w:t>
            </w:r>
            <w:r>
              <w:rPr>
                <w:rFonts w:hint="eastAsia" w:ascii="宋体" w:hAnsi="宋体" w:eastAsia="宋体" w:cs="宋体"/>
                <w:b w:val="0"/>
                <w:bCs w:val="0"/>
                <w:color w:val="auto"/>
                <w:sz w:val="21"/>
                <w:szCs w:val="21"/>
                <w:highlight w:val="none"/>
                <w:lang w:eastAsia="zh-CN"/>
              </w:rPr>
              <w:t>。</w:t>
            </w:r>
          </w:p>
          <w:p>
            <w:pPr>
              <w:spacing w:line="460" w:lineRule="exact"/>
              <w:ind w:firstLine="42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sz w:val="21"/>
                <w:szCs w:val="21"/>
                <w:highlight w:val="none"/>
              </w:rPr>
              <w:t>三</w:t>
            </w:r>
            <w:r>
              <w:rPr>
                <w:rFonts w:hint="eastAsia" w:ascii="宋体" w:hAnsi="宋体" w:eastAsia="宋体" w:cs="宋体"/>
                <w:b w:val="0"/>
                <w:bCs w:val="0"/>
                <w:color w:val="auto"/>
                <w:sz w:val="21"/>
                <w:szCs w:val="21"/>
                <w:highlight w:val="none"/>
                <w:lang w:eastAsia="zh-CN"/>
              </w:rPr>
              <w:t>档</w:t>
            </w:r>
            <w:r>
              <w:rPr>
                <w:rFonts w:hint="eastAsia" w:ascii="宋体" w:hAnsi="宋体" w:eastAsia="宋体" w:cs="宋体"/>
                <w:b w:val="0"/>
                <w:bCs w:val="0"/>
                <w:color w:val="auto"/>
                <w:sz w:val="21"/>
                <w:szCs w:val="21"/>
                <w:highlight w:val="none"/>
              </w:rPr>
              <w:t>（</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分）∶在满足二档的条件下，注重参训教师专业理论、专业技能、教育科研能力、教师职业道德素养的整体提升，阶段性目标与整体目标表述清晰。</w:t>
            </w:r>
          </w:p>
        </w:tc>
        <w:tc>
          <w:tcPr>
            <w:tcW w:w="957" w:type="dxa"/>
            <w:noWrap w:val="0"/>
            <w:vAlign w:val="center"/>
          </w:tcPr>
          <w:p>
            <w:pPr>
              <w:spacing w:line="360" w:lineRule="auto"/>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6</w:t>
            </w:r>
            <w:r>
              <w:rPr>
                <w:rFonts w:hint="eastAsia" w:ascii="宋体" w:hAnsi="宋体" w:eastAsia="宋体" w:cs="宋体"/>
                <w:bCs/>
                <w:color w:val="auto"/>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762"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31" w:type="dxa"/>
            <w:noWrap w:val="0"/>
            <w:vAlign w:val="center"/>
          </w:tcPr>
          <w:p>
            <w:pPr>
              <w:pStyle w:val="15"/>
              <w:spacing w:line="460" w:lineRule="exact"/>
              <w:jc w:val="both"/>
              <w:rPr>
                <w:rFonts w:hint="eastAsia" w:hAnsi="宋体" w:cs="宋体"/>
                <w:b w:val="0"/>
                <w:bCs w:val="0"/>
                <w:color w:val="auto"/>
                <w:sz w:val="21"/>
                <w:szCs w:val="21"/>
                <w:highlight w:val="none"/>
              </w:rPr>
            </w:pPr>
            <w:r>
              <w:rPr>
                <w:rFonts w:hint="eastAsia" w:hAnsi="宋体" w:cs="宋体"/>
                <w:b w:val="0"/>
                <w:bCs w:val="0"/>
                <w:color w:val="auto"/>
                <w:sz w:val="21"/>
                <w:szCs w:val="21"/>
                <w:highlight w:val="none"/>
                <w:lang w:eastAsia="zh-CN"/>
              </w:rPr>
              <w:t>培训内容及课程设置分</w:t>
            </w:r>
            <w:r>
              <w:rPr>
                <w:rFonts w:hint="eastAsia" w:hAnsi="宋体" w:cs="宋体"/>
                <w:b w:val="0"/>
                <w:bCs w:val="0"/>
                <w:color w:val="auto"/>
                <w:sz w:val="21"/>
                <w:szCs w:val="21"/>
                <w:highlight w:val="none"/>
              </w:rPr>
              <w:t>（满分15分）</w:t>
            </w:r>
          </w:p>
          <w:p>
            <w:pPr>
              <w:pStyle w:val="15"/>
              <w:spacing w:line="460" w:lineRule="exact"/>
              <w:ind w:firstLine="400" w:firstLineChars="200"/>
              <w:rPr>
                <w:rFonts w:hint="eastAsia" w:ascii="宋体" w:hAnsi="宋体" w:eastAsia="宋体" w:cs="宋体"/>
                <w:b w:val="0"/>
                <w:bCs w:val="0"/>
                <w:color w:val="auto"/>
                <w:highlight w:val="none"/>
              </w:rPr>
            </w:pPr>
          </w:p>
        </w:tc>
        <w:tc>
          <w:tcPr>
            <w:tcW w:w="6166" w:type="dxa"/>
            <w:noWrap w:val="0"/>
            <w:vAlign w:val="center"/>
          </w:tcPr>
          <w:p>
            <w:pPr>
              <w:spacing w:line="460" w:lineRule="exact"/>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一档（5分）</w:t>
            </w:r>
            <w:r>
              <w:rPr>
                <w:rFonts w:hint="eastAsia" w:ascii="宋体" w:hAnsi="宋体" w:eastAsia="宋体" w:cs="宋体"/>
                <w:b w:val="0"/>
                <w:bCs w:val="0"/>
                <w:color w:val="auto"/>
                <w:sz w:val="21"/>
                <w:szCs w:val="21"/>
                <w:highlight w:val="none"/>
                <w:lang w:eastAsia="zh-CN"/>
              </w:rPr>
              <w:t>：培训</w:t>
            </w:r>
            <w:r>
              <w:rPr>
                <w:rFonts w:hint="eastAsia" w:ascii="宋体" w:hAnsi="宋体" w:eastAsia="宋体" w:cs="宋体"/>
                <w:b w:val="0"/>
                <w:bCs w:val="0"/>
                <w:color w:val="auto"/>
                <w:sz w:val="21"/>
                <w:szCs w:val="21"/>
                <w:highlight w:val="none"/>
              </w:rPr>
              <w:t>课程和内容符合项目设置要求</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课程方案较具体</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内容与模块间的关联度较高</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理论性课程与实践性课程安排比例合理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基地研修内容符合培训需求</w:t>
            </w:r>
            <w:r>
              <w:rPr>
                <w:rFonts w:hint="eastAsia" w:ascii="宋体" w:hAnsi="宋体" w:eastAsia="宋体" w:cs="宋体"/>
                <w:b w:val="0"/>
                <w:bCs w:val="0"/>
                <w:color w:val="auto"/>
                <w:sz w:val="21"/>
                <w:szCs w:val="21"/>
                <w:highlight w:val="none"/>
                <w:lang w:eastAsia="zh-CN"/>
              </w:rPr>
              <w:t>。</w:t>
            </w:r>
          </w:p>
          <w:p>
            <w:pPr>
              <w:spacing w:line="460" w:lineRule="exact"/>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二档（10分）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培训课程设置合理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预设课程、案例、网络资源丰富</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能体现针对性与实效性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培训内容</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针对性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课程方案具体完善</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培训内容与模块设置之间的逻辑关系较清晰</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理论课程和实践课程比例合理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注重创新</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针对教师学习特点</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基于教学现场、走进真实课堂的培训环节</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强化学员互动参与</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基地研修主题明确</w:t>
            </w:r>
            <w:r>
              <w:rPr>
                <w:rFonts w:hint="eastAsia" w:ascii="宋体" w:hAnsi="宋体" w:eastAsia="宋体" w:cs="宋体"/>
                <w:b w:val="0"/>
                <w:bCs w:val="0"/>
                <w:color w:val="auto"/>
                <w:sz w:val="21"/>
                <w:szCs w:val="21"/>
                <w:highlight w:val="none"/>
                <w:lang w:eastAsia="zh-CN"/>
              </w:rPr>
              <w:t>。</w:t>
            </w:r>
          </w:p>
          <w:p>
            <w:pPr>
              <w:spacing w:line="460" w:lineRule="exact"/>
              <w:ind w:firstLine="42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sz w:val="21"/>
                <w:szCs w:val="21"/>
                <w:highlight w:val="none"/>
              </w:rPr>
              <w:t>三档（15分）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培训内容切合培训需求</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重点突出、特色鲜明</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针对性、实践性</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培训课程设置科学合理、贴近教学实际</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理论性课程与实践性课程安排比例合理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基地研修活动设置科学合理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主题明确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切合培训对象需求</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培训内容涉及教师培训与课堂教学热点问题</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能</w:t>
            </w:r>
            <w:r>
              <w:rPr>
                <w:rFonts w:hint="eastAsia" w:ascii="宋体" w:hAnsi="宋体" w:eastAsia="宋体" w:cs="宋体"/>
                <w:b w:val="0"/>
                <w:bCs w:val="0"/>
                <w:color w:val="auto"/>
                <w:sz w:val="21"/>
                <w:szCs w:val="21"/>
                <w:highlight w:val="none"/>
              </w:rPr>
              <w:t>将</w:t>
            </w:r>
            <w:r>
              <w:rPr>
                <w:rFonts w:hint="eastAsia" w:ascii="宋体" w:hAnsi="宋体" w:eastAsia="宋体" w:cs="宋体"/>
                <w:b w:val="0"/>
                <w:bCs w:val="0"/>
                <w:color w:val="auto"/>
                <w:sz w:val="21"/>
                <w:szCs w:val="21"/>
                <w:highlight w:val="none"/>
                <w:lang w:eastAsia="zh-CN"/>
              </w:rPr>
              <w:t>二十</w:t>
            </w:r>
            <w:r>
              <w:rPr>
                <w:rFonts w:hint="eastAsia" w:ascii="宋体" w:hAnsi="宋体" w:eastAsia="宋体" w:cs="宋体"/>
                <w:b w:val="0"/>
                <w:bCs w:val="0"/>
                <w:color w:val="auto"/>
                <w:sz w:val="21"/>
                <w:szCs w:val="21"/>
                <w:highlight w:val="none"/>
              </w:rPr>
              <w:t>大精神、师德教育、法制教育、</w:t>
            </w:r>
            <w:r>
              <w:rPr>
                <w:rFonts w:hint="eastAsia" w:ascii="宋体" w:hAnsi="宋体" w:eastAsia="宋体" w:cs="宋体"/>
                <w:b w:val="0"/>
                <w:bCs w:val="0"/>
                <w:color w:val="auto"/>
                <w:sz w:val="21"/>
                <w:szCs w:val="21"/>
                <w:highlight w:val="none"/>
                <w:lang w:eastAsia="zh-CN"/>
              </w:rPr>
              <w:t>心理健康教育、</w:t>
            </w:r>
            <w:r>
              <w:rPr>
                <w:rFonts w:hint="eastAsia" w:ascii="宋体" w:hAnsi="宋体" w:eastAsia="宋体" w:cs="宋体"/>
                <w:b w:val="0"/>
                <w:bCs w:val="0"/>
                <w:color w:val="auto"/>
                <w:sz w:val="21"/>
                <w:szCs w:val="21"/>
                <w:highlight w:val="none"/>
              </w:rPr>
              <w:t>信息技术应用等列入培训内容</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以问题为</w:t>
            </w:r>
            <w:r>
              <w:rPr>
                <w:rFonts w:hint="eastAsia" w:ascii="宋体" w:hAnsi="宋体" w:eastAsia="宋体" w:cs="宋体"/>
                <w:b w:val="0"/>
                <w:bCs w:val="0"/>
                <w:color w:val="auto"/>
                <w:sz w:val="21"/>
                <w:szCs w:val="21"/>
                <w:highlight w:val="none"/>
                <w:lang w:eastAsia="zh-CN"/>
              </w:rPr>
              <w:t>导向，</w:t>
            </w:r>
            <w:r>
              <w:rPr>
                <w:rFonts w:hint="eastAsia" w:ascii="宋体" w:hAnsi="宋体" w:eastAsia="宋体" w:cs="宋体"/>
                <w:b w:val="0"/>
                <w:bCs w:val="0"/>
                <w:color w:val="auto"/>
                <w:sz w:val="21"/>
                <w:szCs w:val="21"/>
                <w:highlight w:val="none"/>
              </w:rPr>
              <w:t>基于真实教育情境</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以典型案例为载体</w:t>
            </w:r>
            <w:r>
              <w:rPr>
                <w:rFonts w:hint="eastAsia" w:ascii="宋体" w:hAnsi="宋体" w:eastAsia="宋体" w:cs="宋体"/>
                <w:b w:val="0"/>
                <w:bCs w:val="0"/>
                <w:color w:val="auto"/>
                <w:sz w:val="21"/>
                <w:szCs w:val="21"/>
                <w:highlight w:val="none"/>
                <w:lang w:eastAsia="zh-CN"/>
              </w:rPr>
              <w:t>。</w:t>
            </w:r>
          </w:p>
        </w:tc>
        <w:tc>
          <w:tcPr>
            <w:tcW w:w="957" w:type="dxa"/>
            <w:noWrap w:val="0"/>
            <w:vAlign w:val="center"/>
          </w:tcPr>
          <w:p>
            <w:pPr>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762"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31" w:type="dxa"/>
            <w:noWrap w:val="0"/>
            <w:vAlign w:val="center"/>
          </w:tcPr>
          <w:p>
            <w:pPr>
              <w:pStyle w:val="15"/>
              <w:spacing w:line="460" w:lineRule="exact"/>
              <w:jc w:val="both"/>
              <w:rPr>
                <w:rFonts w:hint="eastAsia" w:hAnsi="宋体" w:cs="宋体"/>
                <w:b w:val="0"/>
                <w:bCs w:val="0"/>
                <w:color w:val="auto"/>
                <w:sz w:val="21"/>
                <w:szCs w:val="21"/>
                <w:highlight w:val="none"/>
              </w:rPr>
            </w:pPr>
            <w:r>
              <w:rPr>
                <w:rFonts w:hint="eastAsia" w:hAnsi="宋体" w:cs="宋体"/>
                <w:b w:val="0"/>
                <w:bCs w:val="0"/>
                <w:color w:val="auto"/>
                <w:sz w:val="21"/>
                <w:szCs w:val="21"/>
                <w:highlight w:val="none"/>
                <w:lang w:eastAsia="zh-CN"/>
              </w:rPr>
              <w:t>培训团队分</w:t>
            </w:r>
            <w:r>
              <w:rPr>
                <w:rFonts w:hint="eastAsia" w:hAnsi="宋体" w:cs="宋体"/>
                <w:b w:val="0"/>
                <w:bCs w:val="0"/>
                <w:color w:val="auto"/>
                <w:sz w:val="21"/>
                <w:szCs w:val="21"/>
                <w:highlight w:val="none"/>
              </w:rPr>
              <w:t>（满分15分）</w:t>
            </w:r>
          </w:p>
          <w:p>
            <w:pPr>
              <w:pStyle w:val="15"/>
              <w:spacing w:line="460" w:lineRule="exact"/>
              <w:jc w:val="center"/>
              <w:rPr>
                <w:rFonts w:hint="eastAsia" w:ascii="宋体" w:hAnsi="宋体" w:eastAsia="宋体" w:cs="宋体"/>
                <w:b w:val="0"/>
                <w:bCs w:val="0"/>
                <w:color w:val="auto"/>
                <w:highlight w:val="none"/>
              </w:rPr>
            </w:pPr>
          </w:p>
        </w:tc>
        <w:tc>
          <w:tcPr>
            <w:tcW w:w="6166" w:type="dxa"/>
            <w:noWrap w:val="0"/>
            <w:vAlign w:val="center"/>
          </w:tcPr>
          <w:p>
            <w:pPr>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一档（5分）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按培训项目设置要求配备培训专家团队</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组建管理团队</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首席专家为本单位具有高</w:t>
            </w:r>
            <w:r>
              <w:rPr>
                <w:rFonts w:hint="eastAsia" w:ascii="宋体" w:hAnsi="宋体" w:eastAsia="宋体" w:cs="宋体"/>
                <w:b w:val="0"/>
                <w:bCs w:val="0"/>
                <w:color w:val="auto"/>
                <w:sz w:val="21"/>
                <w:szCs w:val="21"/>
                <w:highlight w:val="none"/>
                <w:lang w:eastAsia="zh-CN"/>
              </w:rPr>
              <w:t>级</w:t>
            </w:r>
            <w:r>
              <w:rPr>
                <w:rFonts w:hint="eastAsia" w:ascii="宋体" w:hAnsi="宋体" w:eastAsia="宋体" w:cs="宋体"/>
                <w:b w:val="0"/>
                <w:bCs w:val="0"/>
                <w:color w:val="auto"/>
                <w:sz w:val="21"/>
                <w:szCs w:val="21"/>
                <w:highlight w:val="none"/>
              </w:rPr>
              <w:t>职称专家（或与此职称等同的专家）</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培训专长突出。</w:t>
            </w:r>
          </w:p>
          <w:p>
            <w:pPr>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二档（10分）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满足一档的条件下</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管理团队分工明确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经验丰富</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一线学科名师（县级以上，下同）、一线优秀教研员、骨干教师和培训管理者比例达到60%</w:t>
            </w:r>
            <w:r>
              <w:rPr>
                <w:rFonts w:hint="eastAsia" w:ascii="宋体" w:hAnsi="宋体" w:eastAsia="宋体" w:cs="宋体"/>
                <w:b w:val="0"/>
                <w:bCs w:val="0"/>
                <w:color w:val="auto"/>
                <w:sz w:val="21"/>
                <w:szCs w:val="21"/>
                <w:highlight w:val="none"/>
                <w:lang w:eastAsia="zh-CN"/>
              </w:rPr>
              <w:t>以上</w:t>
            </w:r>
            <w:r>
              <w:rPr>
                <w:rFonts w:hint="eastAsia" w:ascii="宋体" w:hAnsi="宋体" w:eastAsia="宋体" w:cs="宋体"/>
                <w:b w:val="0"/>
                <w:bCs w:val="0"/>
                <w:color w:val="auto"/>
                <w:sz w:val="21"/>
                <w:szCs w:val="21"/>
                <w:highlight w:val="none"/>
              </w:rPr>
              <w:t>。高级职称</w:t>
            </w:r>
            <w:r>
              <w:rPr>
                <w:rFonts w:hint="eastAsia" w:ascii="宋体" w:hAnsi="宋体" w:eastAsia="宋体" w:cs="宋体"/>
                <w:b w:val="0"/>
                <w:bCs w:val="0"/>
                <w:color w:val="auto"/>
                <w:sz w:val="21"/>
                <w:szCs w:val="21"/>
                <w:highlight w:val="none"/>
                <w:lang w:eastAsia="zh-CN"/>
              </w:rPr>
              <w:t>以上的</w:t>
            </w:r>
            <w:r>
              <w:rPr>
                <w:rFonts w:hint="eastAsia" w:ascii="宋体" w:hAnsi="宋体" w:eastAsia="宋体" w:cs="宋体"/>
                <w:b w:val="0"/>
                <w:bCs w:val="0"/>
                <w:color w:val="auto"/>
                <w:sz w:val="21"/>
                <w:szCs w:val="21"/>
                <w:highlight w:val="none"/>
              </w:rPr>
              <w:t>教师比例不少</w:t>
            </w:r>
            <w:r>
              <w:rPr>
                <w:rFonts w:hint="eastAsia" w:ascii="宋体" w:hAnsi="宋体" w:eastAsia="宋体" w:cs="宋体"/>
                <w:b w:val="0"/>
                <w:bCs w:val="0"/>
                <w:color w:val="auto"/>
                <w:sz w:val="21"/>
                <w:szCs w:val="21"/>
                <w:highlight w:val="none"/>
                <w:lang w:eastAsia="zh-CN"/>
              </w:rPr>
              <w:t>于</w:t>
            </w:r>
            <w:r>
              <w:rPr>
                <w:rFonts w:hint="eastAsia" w:ascii="宋体" w:hAnsi="宋体" w:eastAsia="宋体" w:cs="宋体"/>
                <w:b w:val="0"/>
                <w:bCs w:val="0"/>
                <w:color w:val="auto"/>
                <w:sz w:val="21"/>
                <w:szCs w:val="21"/>
                <w:highlight w:val="none"/>
              </w:rPr>
              <w:t>70%</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管理团队中承担过类</w:t>
            </w:r>
            <w:r>
              <w:rPr>
                <w:rFonts w:hint="eastAsia"/>
                <w:color w:val="auto"/>
                <w:lang w:val="en-US" w:eastAsia="zh-CN"/>
              </w:rPr>
              <w:t>似</w:t>
            </w:r>
            <w:r>
              <w:rPr>
                <w:rFonts w:hint="eastAsia" w:ascii="宋体" w:hAnsi="宋体" w:eastAsia="宋体" w:cs="宋体"/>
                <w:b w:val="0"/>
                <w:bCs w:val="0"/>
                <w:color w:val="auto"/>
                <w:sz w:val="21"/>
                <w:szCs w:val="21"/>
                <w:highlight w:val="none"/>
              </w:rPr>
              <w:t>培训项目的专家不少于3人。</w:t>
            </w:r>
          </w:p>
          <w:p>
            <w:pPr>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三档（15分）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满足</w:t>
            </w:r>
            <w:r>
              <w:rPr>
                <w:rFonts w:hint="eastAsia" w:ascii="宋体" w:hAnsi="宋体" w:eastAsia="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档的条件下</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培训专家团队结构合理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管理团队分工明确</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经验丰富</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一线学科名师、一线优秀教研员、骨干教师和培训管理者比例达到60%</w:t>
            </w:r>
            <w:r>
              <w:rPr>
                <w:rFonts w:hint="eastAsia" w:ascii="宋体" w:hAnsi="宋体" w:eastAsia="宋体" w:cs="宋体"/>
                <w:b w:val="0"/>
                <w:bCs w:val="0"/>
                <w:color w:val="auto"/>
                <w:sz w:val="21"/>
                <w:szCs w:val="21"/>
                <w:highlight w:val="none"/>
                <w:lang w:eastAsia="zh-CN"/>
              </w:rPr>
              <w:t>以上</w:t>
            </w:r>
            <w:r>
              <w:rPr>
                <w:rFonts w:hint="eastAsia" w:ascii="宋体" w:hAnsi="宋体" w:eastAsia="宋体" w:cs="宋体"/>
                <w:b w:val="0"/>
                <w:bCs w:val="0"/>
                <w:color w:val="auto"/>
                <w:sz w:val="21"/>
                <w:szCs w:val="21"/>
                <w:highlight w:val="none"/>
              </w:rPr>
              <w:t>。高级职称</w:t>
            </w:r>
            <w:r>
              <w:rPr>
                <w:rFonts w:hint="eastAsia" w:ascii="宋体" w:hAnsi="宋体" w:eastAsia="宋体" w:cs="宋体"/>
                <w:b w:val="0"/>
                <w:bCs w:val="0"/>
                <w:color w:val="auto"/>
                <w:sz w:val="21"/>
                <w:szCs w:val="21"/>
                <w:highlight w:val="none"/>
                <w:lang w:eastAsia="zh-CN"/>
              </w:rPr>
              <w:t>以上的</w:t>
            </w:r>
            <w:r>
              <w:rPr>
                <w:rFonts w:hint="eastAsia" w:ascii="宋体" w:hAnsi="宋体" w:eastAsia="宋体" w:cs="宋体"/>
                <w:b w:val="0"/>
                <w:bCs w:val="0"/>
                <w:color w:val="auto"/>
                <w:sz w:val="21"/>
                <w:szCs w:val="21"/>
                <w:highlight w:val="none"/>
              </w:rPr>
              <w:t>教师比例不少</w:t>
            </w:r>
            <w:r>
              <w:rPr>
                <w:rFonts w:hint="eastAsia" w:ascii="宋体" w:hAnsi="宋体" w:eastAsia="宋体" w:cs="宋体"/>
                <w:b w:val="0"/>
                <w:bCs w:val="0"/>
                <w:color w:val="auto"/>
                <w:sz w:val="21"/>
                <w:szCs w:val="21"/>
                <w:highlight w:val="none"/>
                <w:lang w:eastAsia="zh-CN"/>
              </w:rPr>
              <w:t>于</w:t>
            </w:r>
            <w:r>
              <w:rPr>
                <w:rFonts w:hint="eastAsia" w:ascii="宋体" w:hAnsi="宋体" w:eastAsia="宋体" w:cs="宋体"/>
                <w:b w:val="0"/>
                <w:bCs w:val="0"/>
                <w:color w:val="auto"/>
                <w:sz w:val="21"/>
                <w:szCs w:val="21"/>
                <w:highlight w:val="none"/>
              </w:rPr>
              <w:t>70%</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广西区外培训专家比例不少于</w:t>
            </w:r>
            <w:r>
              <w:rPr>
                <w:rFonts w:hint="eastAsia" w:ascii="宋体" w:hAnsi="宋体" w:eastAsia="宋体" w:cs="宋体"/>
                <w:b w:val="0"/>
                <w:bCs w:val="0"/>
                <w:color w:val="auto"/>
                <w:sz w:val="21"/>
                <w:szCs w:val="21"/>
                <w:highlight w:val="none"/>
                <w:lang w:val="en-US" w:eastAsia="zh-CN"/>
              </w:rPr>
              <w:t>40</w:t>
            </w:r>
            <w:r>
              <w:rPr>
                <w:rFonts w:hint="eastAsia" w:ascii="宋体" w:hAnsi="宋体" w:eastAsia="宋体" w:cs="宋体"/>
                <w:b w:val="0"/>
                <w:bCs w:val="0"/>
                <w:color w:val="auto"/>
                <w:sz w:val="21"/>
                <w:szCs w:val="21"/>
                <w:highlight w:val="none"/>
              </w:rPr>
              <w:t>%。管理团队中承担过类</w:t>
            </w:r>
            <w:r>
              <w:rPr>
                <w:rFonts w:hint="eastAsia" w:ascii="宋体" w:hAnsi="宋体" w:eastAsia="宋体" w:cs="宋体"/>
                <w:b w:val="0"/>
                <w:bCs w:val="0"/>
                <w:color w:val="auto"/>
                <w:sz w:val="21"/>
                <w:szCs w:val="21"/>
                <w:highlight w:val="none"/>
                <w:lang w:val="en-US" w:eastAsia="zh-CN"/>
              </w:rPr>
              <w:t>似</w:t>
            </w:r>
            <w:r>
              <w:rPr>
                <w:rFonts w:hint="eastAsia" w:ascii="宋体" w:hAnsi="宋体" w:eastAsia="宋体" w:cs="宋体"/>
                <w:b w:val="0"/>
                <w:bCs w:val="0"/>
                <w:color w:val="auto"/>
                <w:sz w:val="21"/>
                <w:szCs w:val="21"/>
                <w:highlight w:val="none"/>
              </w:rPr>
              <w:t>培训项目的专家不少于4人。</w:t>
            </w:r>
          </w:p>
          <w:p>
            <w:pPr>
              <w:spacing w:line="460" w:lineRule="exact"/>
              <w:ind w:firstLine="42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sz w:val="21"/>
                <w:szCs w:val="21"/>
                <w:highlight w:val="none"/>
              </w:rPr>
              <w:t>需</w:t>
            </w:r>
            <w:r>
              <w:rPr>
                <w:rFonts w:hint="eastAsia"/>
                <w:color w:val="auto"/>
                <w:lang w:val="en-US" w:eastAsia="zh-CN"/>
              </w:rPr>
              <w:t>在响应文件中</w:t>
            </w:r>
            <w:r>
              <w:rPr>
                <w:rFonts w:hint="eastAsia" w:ascii="宋体" w:hAnsi="宋体" w:eastAsia="宋体" w:cs="宋体"/>
                <w:b w:val="0"/>
                <w:bCs w:val="0"/>
                <w:color w:val="auto"/>
                <w:sz w:val="21"/>
                <w:szCs w:val="21"/>
                <w:highlight w:val="none"/>
              </w:rPr>
              <w:t>提供首席专家和培训专家团队证书复印件、相关证明材料复印件（复印件需加盖供应商公章）。</w:t>
            </w:r>
          </w:p>
        </w:tc>
        <w:tc>
          <w:tcPr>
            <w:tcW w:w="957" w:type="dxa"/>
            <w:noWrap w:val="0"/>
            <w:vAlign w:val="center"/>
          </w:tcPr>
          <w:p>
            <w:pPr>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762"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31" w:type="dxa"/>
            <w:noWrap w:val="0"/>
            <w:vAlign w:val="center"/>
          </w:tcPr>
          <w:p>
            <w:pPr>
              <w:pStyle w:val="15"/>
              <w:spacing w:line="460" w:lineRule="exact"/>
              <w:jc w:val="center"/>
              <w:rPr>
                <w:rFonts w:hint="eastAsia" w:ascii="宋体" w:hAnsi="宋体" w:eastAsia="宋体" w:cs="宋体"/>
                <w:b w:val="0"/>
                <w:bCs w:val="0"/>
                <w:color w:val="auto"/>
                <w:highlight w:val="none"/>
              </w:rPr>
            </w:pPr>
            <w:r>
              <w:rPr>
                <w:rFonts w:hint="eastAsia" w:hAnsi="宋体" w:cs="宋体"/>
                <w:b w:val="0"/>
                <w:bCs w:val="0"/>
                <w:color w:val="auto"/>
                <w:sz w:val="21"/>
                <w:szCs w:val="21"/>
                <w:highlight w:val="none"/>
                <w:lang w:eastAsia="zh-CN"/>
              </w:rPr>
              <w:t>培训方式分</w:t>
            </w:r>
            <w:r>
              <w:rPr>
                <w:rFonts w:hint="eastAsia" w:hAnsi="宋体" w:cs="宋体"/>
                <w:b w:val="0"/>
                <w:bCs w:val="0"/>
                <w:color w:val="auto"/>
                <w:sz w:val="21"/>
                <w:szCs w:val="21"/>
                <w:highlight w:val="none"/>
              </w:rPr>
              <w:t>（满分</w:t>
            </w:r>
            <w:r>
              <w:rPr>
                <w:rFonts w:hint="eastAsia" w:hAnsi="宋体" w:cs="宋体"/>
                <w:b w:val="0"/>
                <w:bCs w:val="0"/>
                <w:color w:val="auto"/>
                <w:sz w:val="21"/>
                <w:szCs w:val="21"/>
                <w:highlight w:val="none"/>
                <w:lang w:val="en-US" w:eastAsia="zh-CN"/>
              </w:rPr>
              <w:t>10</w:t>
            </w:r>
            <w:r>
              <w:rPr>
                <w:rFonts w:hint="eastAsia" w:hAnsi="宋体" w:cs="宋体"/>
                <w:b w:val="0"/>
                <w:bCs w:val="0"/>
                <w:color w:val="auto"/>
                <w:sz w:val="21"/>
                <w:szCs w:val="21"/>
                <w:highlight w:val="none"/>
              </w:rPr>
              <w:t>分）</w:t>
            </w:r>
          </w:p>
        </w:tc>
        <w:tc>
          <w:tcPr>
            <w:tcW w:w="6166" w:type="dxa"/>
            <w:noWrap w:val="0"/>
            <w:vAlign w:val="center"/>
          </w:tcPr>
          <w:p>
            <w:pPr>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一档（3分）∶培训方式多元化，综合采取参与式、研讨式、案例式等多种方式。</w:t>
            </w:r>
          </w:p>
          <w:p>
            <w:pPr>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二档（6分）∶培训方式多元化，综合采取参与式、研讨式、案例式以及现场诊断、听课评课、名师示范等多种方式。</w:t>
            </w:r>
          </w:p>
          <w:p>
            <w:pPr>
              <w:spacing w:line="460" w:lineRule="exact"/>
              <w:ind w:firstLine="42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sz w:val="21"/>
                <w:szCs w:val="21"/>
                <w:highlight w:val="none"/>
              </w:rPr>
              <w:t>三档（</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分）∶培训方式多元化，综合采取参与式、研讨式、案例式以及现场诊断、听课评课、名师示范等多种方式，安排基于教学现场、走进真实课堂的培训环节，强化学员互动参与，体现任务驱动、</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实效性。</w:t>
            </w:r>
          </w:p>
        </w:tc>
        <w:tc>
          <w:tcPr>
            <w:tcW w:w="957" w:type="dxa"/>
            <w:noWrap w:val="0"/>
            <w:vAlign w:val="center"/>
          </w:tcPr>
          <w:p>
            <w:pPr>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762"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31" w:type="dxa"/>
            <w:noWrap w:val="0"/>
            <w:vAlign w:val="center"/>
          </w:tcPr>
          <w:p>
            <w:pPr>
              <w:wordWrap w:val="0"/>
              <w:spacing w:line="460" w:lineRule="exact"/>
              <w:jc w:val="both"/>
              <w:rPr>
                <w:rFonts w:hint="eastAsia" w:ascii="宋体" w:hAnsi="宋体" w:eastAsia="宋体" w:cs="宋体"/>
                <w:b w:val="0"/>
                <w:bCs w:val="0"/>
                <w:color w:val="auto"/>
                <w:highlight w:val="none"/>
              </w:rPr>
            </w:pPr>
            <w:r>
              <w:rPr>
                <w:rFonts w:hint="eastAsia" w:ascii="宋体" w:hAnsi="宋体" w:cs="宋体"/>
                <w:b w:val="0"/>
                <w:bCs w:val="0"/>
                <w:color w:val="auto"/>
                <w:sz w:val="21"/>
                <w:szCs w:val="21"/>
                <w:highlight w:val="none"/>
                <w:lang w:eastAsia="zh-CN"/>
              </w:rPr>
              <w:t>考核评价和跟踪指导分</w:t>
            </w:r>
            <w:r>
              <w:rPr>
                <w:rFonts w:hint="eastAsia" w:hAnsi="宋体" w:cs="宋体"/>
                <w:b w:val="0"/>
                <w:bCs w:val="0"/>
                <w:color w:val="auto"/>
                <w:sz w:val="21"/>
                <w:szCs w:val="21"/>
                <w:highlight w:val="none"/>
              </w:rPr>
              <w:t>（满分</w:t>
            </w:r>
            <w:r>
              <w:rPr>
                <w:rFonts w:hint="eastAsia" w:hAnsi="宋体" w:cs="宋体"/>
                <w:b w:val="0"/>
                <w:bCs w:val="0"/>
                <w:color w:val="auto"/>
                <w:sz w:val="21"/>
                <w:szCs w:val="21"/>
                <w:highlight w:val="none"/>
                <w:lang w:val="en-US" w:eastAsia="zh-CN"/>
              </w:rPr>
              <w:t>10</w:t>
            </w:r>
            <w:r>
              <w:rPr>
                <w:rFonts w:hint="eastAsia" w:hAnsi="宋体" w:cs="宋体"/>
                <w:b w:val="0"/>
                <w:bCs w:val="0"/>
                <w:color w:val="auto"/>
                <w:sz w:val="21"/>
                <w:szCs w:val="21"/>
                <w:highlight w:val="none"/>
              </w:rPr>
              <w:t>分）</w:t>
            </w:r>
          </w:p>
        </w:tc>
        <w:tc>
          <w:tcPr>
            <w:tcW w:w="6166" w:type="dxa"/>
            <w:noWrap w:val="0"/>
            <w:vAlign w:val="center"/>
          </w:tcPr>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一档（3分）∶过程监控方法和措施</w:t>
            </w:r>
            <w:r>
              <w:rPr>
                <w:rFonts w:hint="eastAsia"/>
                <w:color w:val="auto"/>
                <w:lang w:val="en-US" w:eastAsia="zh-CN"/>
              </w:rPr>
              <w:t>描述</w:t>
            </w:r>
            <w:r>
              <w:rPr>
                <w:rFonts w:hint="eastAsia" w:ascii="宋体" w:hAnsi="宋体" w:eastAsia="宋体" w:cs="宋体"/>
                <w:b w:val="0"/>
                <w:bCs w:val="0"/>
                <w:color w:val="auto"/>
                <w:sz w:val="21"/>
                <w:szCs w:val="21"/>
                <w:highlight w:val="none"/>
                <w:lang w:val="en-US" w:eastAsia="zh-CN"/>
              </w:rPr>
              <w:t>简单</w:t>
            </w:r>
            <w:r>
              <w:rPr>
                <w:rFonts w:hint="eastAsia" w:ascii="宋体" w:hAnsi="宋体" w:eastAsia="宋体" w:cs="宋体"/>
                <w:b w:val="0"/>
                <w:bCs w:val="0"/>
                <w:color w:val="auto"/>
                <w:sz w:val="21"/>
                <w:szCs w:val="21"/>
                <w:highlight w:val="none"/>
              </w:rPr>
              <w:t>，评价指标基本合理</w:t>
            </w:r>
            <w:r>
              <w:rPr>
                <w:rFonts w:hint="eastAsia" w:ascii="宋体" w:hAnsi="宋体" w:cs="宋体"/>
                <w:b w:val="0"/>
                <w:bCs w:val="0"/>
                <w:color w:val="auto"/>
                <w:sz w:val="21"/>
                <w:szCs w:val="21"/>
                <w:highlight w:val="none"/>
                <w:lang w:eastAsia="zh-CN"/>
              </w:rPr>
              <w:t>；</w:t>
            </w:r>
            <w:r>
              <w:rPr>
                <w:rFonts w:hint="eastAsia" w:ascii="宋体" w:hAnsi="宋体" w:cs="宋体"/>
                <w:b w:val="0"/>
                <w:bCs w:val="0"/>
                <w:color w:val="auto"/>
                <w:sz w:val="21"/>
                <w:szCs w:val="21"/>
                <w:highlight w:val="none"/>
                <w:lang w:val="en-US" w:eastAsia="zh-CN"/>
              </w:rPr>
              <w:t>有简单的</w:t>
            </w:r>
            <w:r>
              <w:rPr>
                <w:rFonts w:hint="eastAsia" w:ascii="宋体" w:hAnsi="宋体" w:eastAsia="宋体" w:cs="宋体"/>
                <w:b w:val="0"/>
                <w:bCs w:val="0"/>
                <w:color w:val="auto"/>
                <w:sz w:val="21"/>
                <w:szCs w:val="21"/>
                <w:highlight w:val="none"/>
              </w:rPr>
              <w:t>跟踪指导设计，</w:t>
            </w:r>
            <w:r>
              <w:rPr>
                <w:rFonts w:hint="eastAsia" w:ascii="宋体" w:hAnsi="宋体" w:eastAsia="宋体" w:cs="宋体"/>
                <w:b w:val="0"/>
                <w:bCs w:val="0"/>
                <w:color w:val="auto"/>
                <w:sz w:val="21"/>
                <w:szCs w:val="21"/>
                <w:highlight w:val="none"/>
                <w:lang w:eastAsia="zh-CN"/>
              </w:rPr>
              <w:t>有</w:t>
            </w:r>
            <w:r>
              <w:rPr>
                <w:rFonts w:hint="eastAsia" w:ascii="宋体" w:hAnsi="宋体" w:eastAsia="宋体" w:cs="宋体"/>
                <w:b w:val="0"/>
                <w:bCs w:val="0"/>
                <w:color w:val="auto"/>
                <w:sz w:val="21"/>
                <w:szCs w:val="21"/>
                <w:highlight w:val="none"/>
              </w:rPr>
              <w:t>计划。</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二档（</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分）∶过程监控方法和措施恰当</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评价指标较科学</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跟踪指导设计具体</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时间明确，</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可操作性。</w:t>
            </w:r>
          </w:p>
          <w:p>
            <w:pPr>
              <w:widowControl w:val="0"/>
              <w:spacing w:line="460" w:lineRule="exact"/>
              <w:ind w:firstLine="42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sz w:val="21"/>
                <w:szCs w:val="21"/>
                <w:highlight w:val="none"/>
              </w:rPr>
              <w:t>三档（</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分）∶过程监控方法和措施</w:t>
            </w:r>
            <w:r>
              <w:rPr>
                <w:rFonts w:hint="eastAsia" w:ascii="宋体" w:hAnsi="宋体" w:eastAsia="宋体" w:cs="宋体"/>
                <w:b w:val="0"/>
                <w:bCs w:val="0"/>
                <w:color w:val="auto"/>
                <w:sz w:val="21"/>
                <w:szCs w:val="21"/>
                <w:highlight w:val="none"/>
                <w:lang w:eastAsia="zh-CN"/>
              </w:rPr>
              <w:t>得当</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评价指标</w:t>
            </w:r>
            <w:r>
              <w:rPr>
                <w:rFonts w:hint="eastAsia"/>
                <w:b w:val="0"/>
                <w:bCs w:val="0"/>
                <w:color w:val="auto"/>
                <w:sz w:val="21"/>
                <w:szCs w:val="21"/>
                <w:highlight w:val="none"/>
              </w:rPr>
              <w:t>细致</w:t>
            </w:r>
            <w:r>
              <w:rPr>
                <w:rFonts w:hint="eastAsia"/>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科学</w:t>
            </w:r>
            <w:r>
              <w:rPr>
                <w:rFonts w:hint="eastAsia" w:ascii="宋体" w:hAnsi="宋体" w:eastAsia="宋体" w:cs="宋体"/>
                <w:b w:val="0"/>
                <w:bCs w:val="0"/>
                <w:color w:val="auto"/>
                <w:sz w:val="21"/>
                <w:szCs w:val="21"/>
                <w:highlight w:val="none"/>
                <w:lang w:eastAsia="zh-CN"/>
              </w:rPr>
              <w:t>、合理</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跟踪指导</w:t>
            </w:r>
            <w:r>
              <w:rPr>
                <w:rFonts w:hint="eastAsia" w:ascii="宋体" w:hAnsi="宋体" w:eastAsia="宋体" w:cs="宋体"/>
                <w:b w:val="0"/>
                <w:bCs w:val="0"/>
                <w:color w:val="auto"/>
                <w:sz w:val="21"/>
                <w:szCs w:val="21"/>
                <w:highlight w:val="none"/>
                <w:lang w:eastAsia="zh-CN"/>
              </w:rPr>
              <w:t>设计具体、时间明确、具有</w:t>
            </w:r>
            <w:r>
              <w:rPr>
                <w:rFonts w:hint="eastAsia"/>
                <w:b w:val="0"/>
                <w:bCs w:val="0"/>
                <w:color w:val="auto"/>
                <w:sz w:val="21"/>
                <w:szCs w:val="21"/>
                <w:highlight w:val="none"/>
                <w:lang w:eastAsia="zh-CN"/>
              </w:rPr>
              <w:t>针对性</w:t>
            </w:r>
            <w:r>
              <w:rPr>
                <w:rFonts w:hint="eastAsia" w:ascii="宋体" w:hAnsi="宋体" w:eastAsia="宋体" w:cs="宋体"/>
                <w:b w:val="0"/>
                <w:bCs w:val="0"/>
                <w:color w:val="auto"/>
                <w:sz w:val="21"/>
                <w:szCs w:val="21"/>
                <w:highlight w:val="none"/>
              </w:rPr>
              <w:t>，跟踪指导方式有效</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可操作性。</w:t>
            </w:r>
          </w:p>
        </w:tc>
        <w:tc>
          <w:tcPr>
            <w:tcW w:w="957" w:type="dxa"/>
            <w:noWrap w:val="0"/>
            <w:vAlign w:val="center"/>
          </w:tcPr>
          <w:p>
            <w:pPr>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762" w:type="dxa"/>
            <w:noWrap w:val="0"/>
            <w:vAlign w:val="center"/>
          </w:tcPr>
          <w:p>
            <w:pPr>
              <w:spacing w:line="360" w:lineRule="auto"/>
              <w:jc w:val="center"/>
              <w:rPr>
                <w:rFonts w:hint="eastAsia" w:ascii="宋体" w:hAnsi="宋体" w:eastAsia="宋体" w:cs="宋体"/>
                <w:bCs/>
                <w:color w:val="auto"/>
                <w:szCs w:val="21"/>
                <w:highlight w:val="none"/>
              </w:rPr>
            </w:pPr>
          </w:p>
        </w:tc>
        <w:tc>
          <w:tcPr>
            <w:tcW w:w="1131" w:type="dxa"/>
            <w:noWrap w:val="0"/>
            <w:vAlign w:val="center"/>
          </w:tcPr>
          <w:p>
            <w:pPr>
              <w:pStyle w:val="15"/>
              <w:spacing w:line="460" w:lineRule="exact"/>
              <w:jc w:val="center"/>
              <w:rPr>
                <w:rFonts w:hint="eastAsia" w:hAnsi="宋体" w:cs="宋体"/>
                <w:b w:val="0"/>
                <w:bCs w:val="0"/>
                <w:color w:val="auto"/>
                <w:sz w:val="21"/>
                <w:szCs w:val="21"/>
                <w:highlight w:val="none"/>
              </w:rPr>
            </w:pPr>
            <w:r>
              <w:rPr>
                <w:rFonts w:hint="eastAsia" w:hAnsi="宋体" w:cs="宋体"/>
                <w:b w:val="0"/>
                <w:bCs w:val="0"/>
                <w:color w:val="auto"/>
                <w:sz w:val="21"/>
                <w:szCs w:val="21"/>
                <w:highlight w:val="none"/>
                <w:lang w:eastAsia="zh-CN"/>
              </w:rPr>
              <w:t>基地保障分</w:t>
            </w:r>
            <w:r>
              <w:rPr>
                <w:rFonts w:hint="eastAsia" w:hAnsi="宋体" w:cs="宋体"/>
                <w:b w:val="0"/>
                <w:bCs w:val="0"/>
                <w:color w:val="auto"/>
                <w:sz w:val="21"/>
                <w:szCs w:val="21"/>
                <w:highlight w:val="none"/>
              </w:rPr>
              <w:t>（满分</w:t>
            </w:r>
            <w:r>
              <w:rPr>
                <w:rFonts w:hint="eastAsia" w:hAnsi="宋体" w:cs="宋体"/>
                <w:b w:val="0"/>
                <w:bCs w:val="0"/>
                <w:color w:val="auto"/>
                <w:sz w:val="21"/>
                <w:szCs w:val="21"/>
                <w:highlight w:val="none"/>
                <w:lang w:val="en-US" w:eastAsia="zh-CN"/>
              </w:rPr>
              <w:t>9</w:t>
            </w:r>
            <w:r>
              <w:rPr>
                <w:rFonts w:hint="eastAsia" w:hAnsi="宋体" w:cs="宋体"/>
                <w:b w:val="0"/>
                <w:bCs w:val="0"/>
                <w:color w:val="auto"/>
                <w:sz w:val="21"/>
                <w:szCs w:val="21"/>
                <w:highlight w:val="none"/>
              </w:rPr>
              <w:t>分）</w:t>
            </w:r>
          </w:p>
        </w:tc>
        <w:tc>
          <w:tcPr>
            <w:tcW w:w="6166" w:type="dxa"/>
            <w:noWrap w:val="0"/>
            <w:vAlign w:val="center"/>
          </w:tcPr>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一档（3分）∶根据培训项目设置需求安排基地学校进行观摩或跟岗研修</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安排指导教师进行跟踪指导，满足项目采购需求。</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二档（6分）∶根据培训项目设置需求有针对性地安排基地学校进行观摩或跟岗研修，基地学校办学水平高、有特色</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安排专业能力强的指导教师进行跟踪指导。</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三档（9分）∶根据培训项目设置需求有针对性地安排基地学校进行观摩或跟岗研修，基地校办学水平高、特色明显、</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可借鉴性</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安排专业能力强的指导教师进行跟踪指导，</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满足教师技能提</w:t>
            </w:r>
            <w:r>
              <w:rPr>
                <w:rFonts w:hint="eastAsia" w:ascii="宋体" w:hAnsi="宋体" w:eastAsia="宋体" w:cs="宋体"/>
                <w:b w:val="0"/>
                <w:bCs w:val="0"/>
                <w:color w:val="auto"/>
                <w:sz w:val="21"/>
                <w:szCs w:val="21"/>
                <w:highlight w:val="none"/>
                <w:lang w:val="en-US" w:eastAsia="zh-CN"/>
              </w:rPr>
              <w:t>升</w:t>
            </w:r>
            <w:r>
              <w:rPr>
                <w:rFonts w:hint="eastAsia" w:ascii="宋体" w:hAnsi="宋体" w:eastAsia="宋体" w:cs="宋体"/>
                <w:b w:val="0"/>
                <w:bCs w:val="0"/>
                <w:color w:val="auto"/>
                <w:sz w:val="21"/>
                <w:szCs w:val="21"/>
                <w:highlight w:val="none"/>
              </w:rPr>
              <w:t>需求</w:t>
            </w:r>
            <w:r>
              <w:rPr>
                <w:rFonts w:hint="eastAsia" w:ascii="宋体" w:hAnsi="宋体" w:eastAsia="宋体" w:cs="宋体"/>
                <w:b w:val="0"/>
                <w:bCs w:val="0"/>
                <w:color w:val="auto"/>
                <w:sz w:val="21"/>
                <w:szCs w:val="21"/>
                <w:highlight w:val="none"/>
                <w:lang w:val="en-US" w:eastAsia="zh-CN"/>
              </w:rPr>
              <w:t>措施</w:t>
            </w:r>
            <w:r>
              <w:rPr>
                <w:rFonts w:hint="eastAsia" w:ascii="宋体" w:hAnsi="宋体" w:eastAsia="宋体" w:cs="宋体"/>
                <w:b w:val="0"/>
                <w:bCs w:val="0"/>
                <w:color w:val="auto"/>
                <w:sz w:val="21"/>
                <w:szCs w:val="21"/>
                <w:highlight w:val="none"/>
              </w:rPr>
              <w:t>。</w:t>
            </w:r>
          </w:p>
        </w:tc>
        <w:tc>
          <w:tcPr>
            <w:tcW w:w="957" w:type="dxa"/>
            <w:noWrap w:val="0"/>
            <w:vAlign w:val="center"/>
          </w:tcPr>
          <w:p>
            <w:pPr>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762" w:type="dxa"/>
            <w:vMerge w:val="restart"/>
            <w:noWrap w:val="0"/>
            <w:vAlign w:val="center"/>
          </w:tcPr>
          <w:p>
            <w:pPr>
              <w:spacing w:line="360" w:lineRule="auto"/>
              <w:jc w:val="center"/>
              <w:rPr>
                <w:rFonts w:hint="eastAsia" w:ascii="宋体" w:hAnsi="宋体" w:eastAsia="宋体" w:cs="宋体"/>
                <w:bCs/>
                <w:color w:val="auto"/>
                <w:szCs w:val="21"/>
                <w:highlight w:val="none"/>
              </w:rPr>
            </w:pPr>
          </w:p>
        </w:tc>
        <w:tc>
          <w:tcPr>
            <w:tcW w:w="1131" w:type="dxa"/>
            <w:noWrap w:val="0"/>
            <w:vAlign w:val="center"/>
          </w:tcPr>
          <w:p>
            <w:pPr>
              <w:pStyle w:val="15"/>
              <w:spacing w:line="460" w:lineRule="exact"/>
              <w:jc w:val="both"/>
              <w:rPr>
                <w:rFonts w:hint="eastAsia" w:hAnsi="宋体" w:cs="宋体"/>
                <w:b w:val="0"/>
                <w:bCs w:val="0"/>
                <w:color w:val="auto"/>
                <w:sz w:val="21"/>
                <w:szCs w:val="21"/>
                <w:highlight w:val="none"/>
              </w:rPr>
            </w:pPr>
            <w:r>
              <w:rPr>
                <w:rFonts w:hint="eastAsia" w:hAnsi="宋体" w:cs="宋体"/>
                <w:b w:val="0"/>
                <w:bCs w:val="0"/>
                <w:color w:val="auto"/>
                <w:sz w:val="21"/>
                <w:szCs w:val="21"/>
                <w:highlight w:val="none"/>
                <w:lang w:eastAsia="zh-CN"/>
              </w:rPr>
              <w:t>后勤保障分</w:t>
            </w:r>
            <w:r>
              <w:rPr>
                <w:rFonts w:hint="eastAsia" w:hAnsi="宋体" w:cs="宋体"/>
                <w:b w:val="0"/>
                <w:bCs w:val="0"/>
                <w:color w:val="auto"/>
                <w:sz w:val="21"/>
                <w:szCs w:val="21"/>
                <w:highlight w:val="none"/>
              </w:rPr>
              <w:t>（满分</w:t>
            </w:r>
            <w:r>
              <w:rPr>
                <w:rFonts w:hint="eastAsia" w:hAnsi="宋体" w:cs="宋体"/>
                <w:b w:val="0"/>
                <w:bCs w:val="0"/>
                <w:color w:val="auto"/>
                <w:sz w:val="21"/>
                <w:szCs w:val="21"/>
                <w:highlight w:val="none"/>
                <w:lang w:val="en-US" w:eastAsia="zh-CN"/>
              </w:rPr>
              <w:t>9</w:t>
            </w:r>
            <w:r>
              <w:rPr>
                <w:rFonts w:hint="eastAsia" w:hAnsi="宋体" w:cs="宋体"/>
                <w:b w:val="0"/>
                <w:bCs w:val="0"/>
                <w:color w:val="auto"/>
                <w:sz w:val="21"/>
                <w:szCs w:val="21"/>
                <w:highlight w:val="none"/>
              </w:rPr>
              <w:t>分）</w:t>
            </w:r>
          </w:p>
        </w:tc>
        <w:tc>
          <w:tcPr>
            <w:tcW w:w="6166" w:type="dxa"/>
            <w:noWrap w:val="0"/>
            <w:vAlign w:val="center"/>
          </w:tcPr>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一档（3分）∶培训场地、教学设备和学员食宿条件基本满足培训要求，经费预算安排较合理，有管理制度。</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二档（6分）∶培训场地</w:t>
            </w:r>
            <w:r>
              <w:rPr>
                <w:rFonts w:hint="eastAsia" w:ascii="宋体" w:hAnsi="宋体" w:eastAsia="宋体" w:cs="宋体"/>
                <w:b w:val="0"/>
                <w:bCs w:val="0"/>
                <w:color w:val="auto"/>
                <w:sz w:val="21"/>
                <w:szCs w:val="21"/>
                <w:highlight w:val="none"/>
                <w:lang w:val="en-US" w:eastAsia="zh-CN"/>
              </w:rPr>
              <w:t>能</w:t>
            </w:r>
            <w:r>
              <w:rPr>
                <w:rFonts w:hint="eastAsia" w:ascii="宋体" w:hAnsi="宋体" w:eastAsia="宋体" w:cs="宋体"/>
                <w:b w:val="0"/>
                <w:bCs w:val="0"/>
                <w:color w:val="auto"/>
                <w:sz w:val="21"/>
                <w:szCs w:val="21"/>
                <w:highlight w:val="none"/>
              </w:rPr>
              <w:t>满足培训需求，教学环境</w:t>
            </w:r>
            <w:r>
              <w:rPr>
                <w:rFonts w:hint="eastAsia"/>
                <w:color w:val="auto"/>
                <w:lang w:val="en-US" w:eastAsia="zh-CN"/>
              </w:rPr>
              <w:t>整齐有序</w:t>
            </w:r>
            <w:r>
              <w:rPr>
                <w:rFonts w:hint="eastAsia" w:ascii="宋体" w:hAnsi="宋体" w:eastAsia="宋体" w:cs="宋体"/>
                <w:b w:val="0"/>
                <w:bCs w:val="0"/>
                <w:color w:val="auto"/>
                <w:sz w:val="21"/>
                <w:szCs w:val="21"/>
                <w:highlight w:val="none"/>
              </w:rPr>
              <w:t>、教学设备</w:t>
            </w:r>
            <w:r>
              <w:rPr>
                <w:rFonts w:hint="eastAsia" w:ascii="宋体" w:hAnsi="宋体" w:eastAsia="宋体" w:cs="宋体"/>
                <w:b w:val="0"/>
                <w:bCs w:val="0"/>
                <w:color w:val="auto"/>
                <w:sz w:val="21"/>
                <w:szCs w:val="21"/>
                <w:highlight w:val="none"/>
                <w:lang w:val="en-US" w:eastAsia="zh-CN"/>
              </w:rPr>
              <w:t>完备</w:t>
            </w:r>
            <w:r>
              <w:rPr>
                <w:rFonts w:hint="eastAsia" w:ascii="宋体" w:hAnsi="宋体" w:eastAsia="宋体" w:cs="宋体"/>
                <w:b w:val="0"/>
                <w:bCs w:val="0"/>
                <w:color w:val="auto"/>
                <w:sz w:val="21"/>
                <w:szCs w:val="21"/>
                <w:highlight w:val="none"/>
              </w:rPr>
              <w:t>，学员食宿条件</w:t>
            </w:r>
            <w:r>
              <w:rPr>
                <w:rFonts w:hint="eastAsia"/>
                <w:color w:val="auto"/>
                <w:lang w:val="en-US" w:eastAsia="zh-CN"/>
              </w:rPr>
              <w:t>干净整齐</w:t>
            </w:r>
            <w:r>
              <w:rPr>
                <w:rFonts w:hint="eastAsia" w:ascii="宋体" w:hAnsi="宋体" w:eastAsia="宋体" w:cs="宋体"/>
                <w:b w:val="0"/>
                <w:bCs w:val="0"/>
                <w:color w:val="auto"/>
                <w:sz w:val="21"/>
                <w:szCs w:val="21"/>
                <w:highlight w:val="none"/>
              </w:rPr>
              <w:t>，管理制度完善，能保证培训的顺利开展，经费预算安排合理，能根据经费预算对学员食宿详细安排，包括但不限于∶</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①培训期间伙食安排∶早餐种类不少于3种（至少包含粥、包子（馒头）、粉（面）</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午、晚餐具体菜系（圆桌菜系至少包含五荤</w:t>
            </w:r>
            <w:r>
              <w:rPr>
                <w:rFonts w:hint="eastAsia" w:ascii="宋体" w:hAnsi="宋体" w:eastAsia="宋体" w:cs="宋体"/>
                <w:b w:val="0"/>
                <w:bCs w:val="0"/>
                <w:color w:val="auto"/>
                <w:sz w:val="21"/>
                <w:szCs w:val="21"/>
                <w:highlight w:val="none"/>
                <w:lang w:val="en-US" w:eastAsia="zh-CN"/>
              </w:rPr>
              <w:t>或</w:t>
            </w:r>
            <w:r>
              <w:rPr>
                <w:rFonts w:hint="eastAsia" w:ascii="宋体" w:hAnsi="宋体" w:eastAsia="宋体" w:cs="宋体"/>
                <w:b w:val="0"/>
                <w:bCs w:val="0"/>
                <w:color w:val="auto"/>
                <w:sz w:val="21"/>
                <w:szCs w:val="21"/>
                <w:highlight w:val="none"/>
              </w:rPr>
              <w:t>饭堂菜系至少包含2荤）。</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②住宿房间安排∶（酒店或者宿舍相关设施设备）。</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三档（9分）∶满足二档的条件下，能根据培训主题和方式有针对性安排培训场地，教学环境</w:t>
            </w:r>
            <w:r>
              <w:rPr>
                <w:rFonts w:hint="eastAsia"/>
                <w:color w:val="auto"/>
                <w:lang w:val="en-US" w:eastAsia="zh-CN"/>
              </w:rPr>
              <w:t>整齐有序</w:t>
            </w:r>
            <w:r>
              <w:rPr>
                <w:rFonts w:hint="eastAsia" w:ascii="宋体" w:hAnsi="宋体" w:eastAsia="宋体" w:cs="宋体"/>
                <w:b w:val="0"/>
                <w:bCs w:val="0"/>
                <w:color w:val="auto"/>
                <w:sz w:val="21"/>
                <w:szCs w:val="21"/>
                <w:highlight w:val="none"/>
              </w:rPr>
              <w:t>、教学设备</w:t>
            </w:r>
            <w:r>
              <w:rPr>
                <w:rFonts w:hint="eastAsia" w:ascii="宋体" w:hAnsi="宋体" w:eastAsia="宋体" w:cs="宋体"/>
                <w:b w:val="0"/>
                <w:bCs w:val="0"/>
                <w:color w:val="auto"/>
                <w:sz w:val="21"/>
                <w:szCs w:val="21"/>
                <w:highlight w:val="none"/>
                <w:lang w:val="en-US" w:eastAsia="zh-CN"/>
              </w:rPr>
              <w:t>完备</w:t>
            </w:r>
            <w:r>
              <w:rPr>
                <w:rFonts w:hint="eastAsia" w:ascii="宋体" w:hAnsi="宋体" w:eastAsia="宋体" w:cs="宋体"/>
                <w:b w:val="0"/>
                <w:bCs w:val="0"/>
                <w:color w:val="auto"/>
                <w:sz w:val="21"/>
                <w:szCs w:val="21"/>
                <w:highlight w:val="none"/>
              </w:rPr>
              <w:t>，学员食宿条件、医疗卫生条件</w:t>
            </w:r>
            <w:r>
              <w:rPr>
                <w:rFonts w:hint="eastAsia" w:ascii="宋体" w:hAnsi="宋体" w:eastAsia="宋体" w:cs="宋体"/>
                <w:b w:val="0"/>
                <w:bCs w:val="0"/>
                <w:color w:val="auto"/>
                <w:sz w:val="21"/>
                <w:szCs w:val="21"/>
                <w:highlight w:val="none"/>
                <w:lang w:val="en-US" w:eastAsia="zh-CN"/>
              </w:rPr>
              <w:t>满足项目需求、安排合理</w:t>
            </w:r>
            <w:r>
              <w:rPr>
                <w:rFonts w:hint="eastAsia" w:ascii="宋体" w:hAnsi="宋体" w:eastAsia="宋体" w:cs="宋体"/>
                <w:b w:val="0"/>
                <w:bCs w:val="0"/>
                <w:color w:val="auto"/>
                <w:sz w:val="21"/>
                <w:szCs w:val="21"/>
                <w:highlight w:val="none"/>
              </w:rPr>
              <w:t>。经费预算安排合理科学，培训安全、考勤、考核评价、学情反馈等相关管理制度健全完善。</w:t>
            </w:r>
          </w:p>
        </w:tc>
        <w:tc>
          <w:tcPr>
            <w:tcW w:w="957" w:type="dxa"/>
            <w:noWrap w:val="0"/>
            <w:vAlign w:val="center"/>
          </w:tcPr>
          <w:p>
            <w:pPr>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762"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31" w:type="dxa"/>
            <w:noWrap w:val="0"/>
            <w:vAlign w:val="center"/>
          </w:tcPr>
          <w:p>
            <w:pPr>
              <w:pStyle w:val="15"/>
              <w:spacing w:line="460" w:lineRule="exact"/>
              <w:jc w:val="both"/>
              <w:rPr>
                <w:rFonts w:hint="eastAsia" w:hAnsi="宋体" w:cs="宋体"/>
                <w:b w:val="0"/>
                <w:bCs w:val="0"/>
                <w:color w:val="auto"/>
                <w:sz w:val="21"/>
                <w:szCs w:val="21"/>
                <w:highlight w:val="none"/>
              </w:rPr>
            </w:pPr>
            <w:r>
              <w:rPr>
                <w:rFonts w:hint="eastAsia" w:hAnsi="宋体" w:cs="宋体"/>
                <w:b w:val="0"/>
                <w:bCs w:val="0"/>
                <w:color w:val="auto"/>
                <w:sz w:val="21"/>
                <w:szCs w:val="21"/>
                <w:highlight w:val="none"/>
                <w:lang w:eastAsia="zh-CN"/>
              </w:rPr>
              <w:t>服务响应与方案创新分</w:t>
            </w:r>
            <w:r>
              <w:rPr>
                <w:rFonts w:hint="eastAsia" w:hAnsi="宋体" w:cs="宋体"/>
                <w:b w:val="0"/>
                <w:bCs w:val="0"/>
                <w:color w:val="auto"/>
                <w:sz w:val="21"/>
                <w:szCs w:val="21"/>
                <w:highlight w:val="none"/>
              </w:rPr>
              <w:t>（满分</w:t>
            </w:r>
            <w:r>
              <w:rPr>
                <w:rFonts w:hint="eastAsia" w:hAnsi="宋体" w:cs="宋体"/>
                <w:b w:val="0"/>
                <w:bCs w:val="0"/>
                <w:color w:val="auto"/>
                <w:sz w:val="21"/>
                <w:szCs w:val="21"/>
                <w:highlight w:val="none"/>
                <w:lang w:val="en-US" w:eastAsia="zh-CN"/>
              </w:rPr>
              <w:t>6</w:t>
            </w:r>
            <w:r>
              <w:rPr>
                <w:rFonts w:hint="eastAsia" w:hAnsi="宋体" w:cs="宋体"/>
                <w:b w:val="0"/>
                <w:bCs w:val="0"/>
                <w:color w:val="auto"/>
                <w:sz w:val="21"/>
                <w:szCs w:val="21"/>
                <w:highlight w:val="none"/>
              </w:rPr>
              <w:t>分）</w:t>
            </w:r>
          </w:p>
        </w:tc>
        <w:tc>
          <w:tcPr>
            <w:tcW w:w="6166" w:type="dxa"/>
            <w:noWrap w:val="0"/>
            <w:vAlign w:val="center"/>
          </w:tcPr>
          <w:p>
            <w:pPr>
              <w:widowControl w:val="0"/>
              <w:spacing w:line="460" w:lineRule="exact"/>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一档（1分）∶供应商所有服务要求满足磋商文件要求</w:t>
            </w:r>
            <w:r>
              <w:rPr>
                <w:rFonts w:hint="eastAsia" w:ascii="宋体" w:hAnsi="宋体" w:eastAsia="宋体" w:cs="宋体"/>
                <w:b w:val="0"/>
                <w:bCs w:val="0"/>
                <w:color w:val="auto"/>
                <w:sz w:val="21"/>
                <w:szCs w:val="21"/>
                <w:highlight w:val="none"/>
                <w:lang w:eastAsia="zh-CN"/>
              </w:rPr>
              <w:t>。</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二档（3分）∶供应商所有服务要求满足磋商文件要求，培训方案的整体或具体环节的设计上有鲜明特色。</w:t>
            </w:r>
          </w:p>
          <w:p>
            <w:pPr>
              <w:widowControl w:val="0"/>
              <w:spacing w:line="460" w:lineRule="exact"/>
              <w:ind w:firstLine="420" w:firstLineChars="20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三档（</w:t>
            </w:r>
            <w:r>
              <w:rPr>
                <w:rFonts w:hint="eastAsia" w:ascii="宋体" w:hAnsi="宋体" w:eastAsia="宋体" w:cs="宋体"/>
                <w:b w:val="0"/>
                <w:bCs w:val="0"/>
                <w:color w:val="auto"/>
                <w:sz w:val="21"/>
                <w:szCs w:val="21"/>
                <w:highlight w:val="none"/>
                <w:lang w:val="en-US" w:eastAsia="zh-CN"/>
              </w:rPr>
              <w:t>6</w:t>
            </w:r>
            <w:r>
              <w:rPr>
                <w:rFonts w:hint="eastAsia" w:ascii="宋体" w:hAnsi="宋体" w:eastAsia="宋体" w:cs="宋体"/>
                <w:b w:val="0"/>
                <w:bCs w:val="0"/>
                <w:color w:val="auto"/>
                <w:sz w:val="21"/>
                <w:szCs w:val="21"/>
                <w:highlight w:val="none"/>
              </w:rPr>
              <w:t>分）∶供应商所有服务要求满足磋商文件要求</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培训方案的整体和具体环节的设计上有鲜明特色和创新之处，</w:t>
            </w:r>
            <w:r>
              <w:rPr>
                <w:rFonts w:hint="eastAsia" w:ascii="宋体" w:hAnsi="宋体" w:eastAsia="宋体" w:cs="宋体"/>
                <w:b w:val="0"/>
                <w:bCs w:val="0"/>
                <w:color w:val="auto"/>
                <w:sz w:val="21"/>
                <w:szCs w:val="21"/>
                <w:highlight w:val="none"/>
                <w:lang w:val="en-US" w:eastAsia="zh-CN"/>
              </w:rPr>
              <w:t>有</w:t>
            </w:r>
            <w:r>
              <w:rPr>
                <w:rFonts w:hint="eastAsia" w:ascii="宋体" w:hAnsi="宋体" w:eastAsia="宋体" w:cs="宋体"/>
                <w:b w:val="0"/>
                <w:bCs w:val="0"/>
                <w:color w:val="auto"/>
                <w:sz w:val="21"/>
                <w:szCs w:val="21"/>
                <w:highlight w:val="none"/>
              </w:rPr>
              <w:t>针对性、实践性。</w:t>
            </w:r>
          </w:p>
        </w:tc>
        <w:tc>
          <w:tcPr>
            <w:tcW w:w="957" w:type="dxa"/>
            <w:noWrap w:val="0"/>
            <w:vAlign w:val="center"/>
          </w:tcPr>
          <w:p>
            <w:pPr>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restart"/>
            <w:noWrap w:val="0"/>
            <w:vAlign w:val="center"/>
          </w:tcPr>
          <w:p>
            <w:pPr>
              <w:spacing w:line="36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lang w:val="en-US" w:eastAsia="zh-CN"/>
              </w:rPr>
              <w:t>3</w:t>
            </w:r>
          </w:p>
        </w:tc>
        <w:tc>
          <w:tcPr>
            <w:tcW w:w="762" w:type="dxa"/>
            <w:vMerge w:val="restart"/>
            <w:noWrap w:val="0"/>
            <w:vAlign w:val="center"/>
          </w:tcPr>
          <w:p>
            <w:pPr>
              <w:spacing w:line="360" w:lineRule="auto"/>
              <w:jc w:val="center"/>
              <w:rPr>
                <w:rFonts w:hint="eastAsia" w:ascii="宋体" w:hAnsi="宋体" w:eastAsia="宋体" w:cs="宋体"/>
                <w:bCs/>
                <w:color w:val="auto"/>
                <w:szCs w:val="21"/>
                <w:highlight w:val="none"/>
                <w:lang w:eastAsia="zh-CN"/>
              </w:rPr>
            </w:pPr>
            <w:r>
              <w:rPr>
                <w:rFonts w:hint="eastAsia" w:ascii="宋体" w:hAnsi="宋体" w:eastAsia="宋体" w:cs="宋体"/>
                <w:bCs/>
                <w:color w:val="auto"/>
                <w:szCs w:val="21"/>
                <w:highlight w:val="none"/>
              </w:rPr>
              <w:t>商务</w:t>
            </w:r>
            <w:r>
              <w:rPr>
                <w:rFonts w:hint="eastAsia" w:ascii="宋体" w:hAnsi="宋体" w:eastAsia="宋体" w:cs="宋体"/>
                <w:bCs/>
                <w:color w:val="auto"/>
                <w:szCs w:val="21"/>
                <w:highlight w:val="none"/>
                <w:lang w:eastAsia="zh-CN"/>
              </w:rPr>
              <w:t>分</w:t>
            </w:r>
          </w:p>
        </w:tc>
        <w:tc>
          <w:tcPr>
            <w:tcW w:w="1131" w:type="dxa"/>
            <w:noWrap w:val="0"/>
            <w:vAlign w:val="center"/>
          </w:tcPr>
          <w:p>
            <w:pPr>
              <w:pStyle w:val="15"/>
              <w:spacing w:line="460" w:lineRule="exact"/>
              <w:jc w:val="both"/>
              <w:rPr>
                <w:rFonts w:hint="eastAsia" w:ascii="宋体" w:hAnsi="宋体" w:eastAsia="宋体" w:cs="宋体"/>
                <w:b w:val="0"/>
                <w:bCs w:val="0"/>
                <w:color w:val="auto"/>
                <w:highlight w:val="none"/>
                <w:lang w:eastAsia="zh-CN"/>
              </w:rPr>
            </w:pPr>
            <w:r>
              <w:rPr>
                <w:rFonts w:hint="eastAsia" w:hAnsi="宋体" w:cs="宋体"/>
                <w:b w:val="0"/>
                <w:bCs w:val="0"/>
                <w:color w:val="auto"/>
                <w:sz w:val="21"/>
                <w:szCs w:val="21"/>
                <w:highlight w:val="none"/>
                <w:lang w:eastAsia="zh-CN"/>
              </w:rPr>
              <w:t>信誉分</w:t>
            </w:r>
            <w:r>
              <w:rPr>
                <w:rFonts w:hint="eastAsia" w:hAnsi="宋体" w:cs="宋体"/>
                <w:b w:val="0"/>
                <w:bCs w:val="0"/>
                <w:color w:val="auto"/>
                <w:sz w:val="21"/>
                <w:szCs w:val="21"/>
                <w:highlight w:val="none"/>
              </w:rPr>
              <w:t>（满分</w:t>
            </w:r>
            <w:r>
              <w:rPr>
                <w:rFonts w:hint="eastAsia" w:hAnsi="宋体" w:cs="宋体"/>
                <w:b w:val="0"/>
                <w:bCs w:val="0"/>
                <w:color w:val="auto"/>
                <w:sz w:val="21"/>
                <w:szCs w:val="21"/>
                <w:highlight w:val="none"/>
                <w:lang w:val="en-US" w:eastAsia="zh-CN"/>
              </w:rPr>
              <w:t>5</w:t>
            </w:r>
            <w:r>
              <w:rPr>
                <w:rFonts w:hint="eastAsia" w:hAnsi="宋体" w:cs="宋体"/>
                <w:b w:val="0"/>
                <w:bCs w:val="0"/>
                <w:color w:val="auto"/>
                <w:sz w:val="21"/>
                <w:szCs w:val="21"/>
                <w:highlight w:val="none"/>
              </w:rPr>
              <w:t>分）</w:t>
            </w:r>
          </w:p>
        </w:tc>
        <w:tc>
          <w:tcPr>
            <w:tcW w:w="6166" w:type="dxa"/>
            <w:noWrap w:val="0"/>
            <w:vAlign w:val="center"/>
          </w:tcPr>
          <w:p>
            <w:pPr>
              <w:widowControl w:val="0"/>
              <w:spacing w:line="460" w:lineRule="exact"/>
              <w:ind w:firstLine="420" w:firstLineChars="20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sz w:val="21"/>
                <w:szCs w:val="21"/>
                <w:highlight w:val="none"/>
                <w:lang w:val="en-US" w:eastAsia="zh-CN"/>
              </w:rPr>
              <w:t>供应商2020年1月1日以来承担的市级或市级以上类似教师培训项目获得过市级或市级以上教育行政部门表彰奖励的，每有1项得1分。同一培训项目取最高分项得分，不能重复计分。需在响应文件中提供相关证明材料复印件并加盖供应商公章，未按要求提供的不予以计分。（满分5分）</w:t>
            </w:r>
          </w:p>
        </w:tc>
        <w:tc>
          <w:tcPr>
            <w:tcW w:w="957" w:type="dxa"/>
            <w:noWrap w:val="0"/>
            <w:vAlign w:val="center"/>
          </w:tcPr>
          <w:p>
            <w:pPr>
              <w:spacing w:line="360" w:lineRule="auto"/>
              <w:jc w:val="center"/>
              <w:rPr>
                <w:rFonts w:hint="eastAsia"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5</w:t>
            </w:r>
            <w:r>
              <w:rPr>
                <w:rFonts w:hint="eastAsia" w:ascii="宋体" w:hAnsi="宋体" w:eastAsia="宋体" w:cs="宋体"/>
                <w:bCs/>
                <w:color w:val="auto"/>
                <w:szCs w:val="21"/>
                <w:highlight w:val="none"/>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Merge w:val="continue"/>
            <w:noWrap w:val="0"/>
            <w:vAlign w:val="center"/>
          </w:tcPr>
          <w:p>
            <w:pPr>
              <w:spacing w:line="360" w:lineRule="auto"/>
              <w:jc w:val="center"/>
              <w:rPr>
                <w:rFonts w:hint="eastAsia" w:ascii="宋体" w:hAnsi="宋体" w:eastAsia="宋体" w:cs="宋体"/>
                <w:bCs/>
                <w:color w:val="auto"/>
                <w:szCs w:val="21"/>
                <w:highlight w:val="none"/>
                <w:lang w:val="en-US" w:eastAsia="zh-CN"/>
              </w:rPr>
            </w:pPr>
          </w:p>
        </w:tc>
        <w:tc>
          <w:tcPr>
            <w:tcW w:w="762" w:type="dxa"/>
            <w:vMerge w:val="continue"/>
            <w:noWrap w:val="0"/>
            <w:vAlign w:val="center"/>
          </w:tcPr>
          <w:p>
            <w:pPr>
              <w:spacing w:line="360" w:lineRule="auto"/>
              <w:jc w:val="center"/>
              <w:rPr>
                <w:rFonts w:hint="eastAsia" w:ascii="宋体" w:hAnsi="宋体" w:eastAsia="宋体" w:cs="宋体"/>
                <w:bCs/>
                <w:color w:val="auto"/>
                <w:szCs w:val="21"/>
                <w:highlight w:val="none"/>
              </w:rPr>
            </w:pPr>
          </w:p>
        </w:tc>
        <w:tc>
          <w:tcPr>
            <w:tcW w:w="1131" w:type="dxa"/>
            <w:noWrap w:val="0"/>
            <w:vAlign w:val="center"/>
          </w:tcPr>
          <w:p>
            <w:pPr>
              <w:pStyle w:val="15"/>
              <w:spacing w:line="460" w:lineRule="exact"/>
              <w:jc w:val="both"/>
              <w:rPr>
                <w:rFonts w:hint="eastAsia" w:ascii="宋体" w:hAnsi="宋体" w:eastAsia="宋体" w:cs="宋体"/>
                <w:b w:val="0"/>
                <w:bCs w:val="0"/>
                <w:color w:val="auto"/>
                <w:highlight w:val="none"/>
                <w:lang w:eastAsia="zh-CN"/>
              </w:rPr>
            </w:pPr>
            <w:r>
              <w:rPr>
                <w:rFonts w:hint="eastAsia" w:hAnsi="宋体" w:cs="宋体"/>
                <w:b w:val="0"/>
                <w:bCs w:val="0"/>
                <w:color w:val="auto"/>
                <w:sz w:val="21"/>
                <w:szCs w:val="21"/>
                <w:highlight w:val="none"/>
                <w:lang w:eastAsia="zh-CN"/>
              </w:rPr>
              <w:t>业绩分</w:t>
            </w:r>
            <w:r>
              <w:rPr>
                <w:rFonts w:hint="eastAsia" w:hAnsi="宋体" w:cs="宋体"/>
                <w:b w:val="0"/>
                <w:bCs w:val="0"/>
                <w:color w:val="auto"/>
                <w:sz w:val="21"/>
                <w:szCs w:val="21"/>
                <w:highlight w:val="none"/>
              </w:rPr>
              <w:t>（满分</w:t>
            </w:r>
            <w:r>
              <w:rPr>
                <w:rFonts w:hint="eastAsia" w:hAnsi="宋体" w:cs="宋体"/>
                <w:b w:val="0"/>
                <w:bCs w:val="0"/>
                <w:color w:val="auto"/>
                <w:sz w:val="21"/>
                <w:szCs w:val="21"/>
                <w:highlight w:val="none"/>
                <w:lang w:val="en-US" w:eastAsia="zh-CN"/>
              </w:rPr>
              <w:t>5</w:t>
            </w:r>
            <w:r>
              <w:rPr>
                <w:rFonts w:hint="eastAsia" w:hAnsi="宋体" w:cs="宋体"/>
                <w:b w:val="0"/>
                <w:bCs w:val="0"/>
                <w:color w:val="auto"/>
                <w:sz w:val="21"/>
                <w:szCs w:val="21"/>
                <w:highlight w:val="none"/>
              </w:rPr>
              <w:t>分）</w:t>
            </w:r>
          </w:p>
        </w:tc>
        <w:tc>
          <w:tcPr>
            <w:tcW w:w="6166" w:type="dxa"/>
            <w:noWrap w:val="0"/>
            <w:vAlign w:val="center"/>
          </w:tcPr>
          <w:p>
            <w:pPr>
              <w:widowControl w:val="0"/>
              <w:spacing w:line="460" w:lineRule="exact"/>
              <w:ind w:firstLine="420" w:firstLineChars="200"/>
              <w:rPr>
                <w:rFonts w:hint="eastAsia" w:ascii="宋体" w:hAnsi="宋体" w:eastAsia="宋体" w:cs="宋体"/>
                <w:b w:val="0"/>
                <w:bCs w:val="0"/>
                <w:color w:val="auto"/>
                <w:highlight w:val="none"/>
                <w:lang w:eastAsia="zh-CN"/>
              </w:rPr>
            </w:pPr>
            <w:r>
              <w:rPr>
                <w:rFonts w:hint="eastAsia" w:ascii="宋体" w:hAnsi="宋体" w:eastAsia="宋体" w:cs="宋体"/>
                <w:b w:val="0"/>
                <w:bCs w:val="0"/>
                <w:color w:val="auto"/>
                <w:sz w:val="21"/>
                <w:szCs w:val="21"/>
                <w:highlight w:val="none"/>
                <w:lang w:val="en-US" w:eastAsia="zh-CN"/>
              </w:rPr>
              <w:t>供应商2020年1月1日以来承担过市级或市级以上</w:t>
            </w:r>
            <w:r>
              <w:rPr>
                <w:rFonts w:hint="eastAsia"/>
                <w:color w:val="auto"/>
              </w:rPr>
              <w:t>与本次采购内容有关的</w:t>
            </w:r>
            <w:r>
              <w:rPr>
                <w:rFonts w:hint="eastAsia" w:ascii="宋体" w:hAnsi="宋体" w:eastAsia="宋体" w:cs="宋体"/>
                <w:b w:val="0"/>
                <w:bCs w:val="0"/>
                <w:color w:val="auto"/>
                <w:sz w:val="21"/>
                <w:szCs w:val="21"/>
                <w:highlight w:val="none"/>
                <w:lang w:val="en-US" w:eastAsia="zh-CN"/>
              </w:rPr>
              <w:t>类似项目的，每有1个得1分。（响应文件中提供</w:t>
            </w:r>
            <w:r>
              <w:rPr>
                <w:rFonts w:hint="eastAsia"/>
                <w:color w:val="auto"/>
                <w:lang w:val="en-US" w:eastAsia="zh-CN"/>
              </w:rPr>
              <w:t>类似项目的</w:t>
            </w:r>
            <w:r>
              <w:rPr>
                <w:rFonts w:hint="eastAsia" w:ascii="宋体" w:hAnsi="宋体" w:eastAsia="宋体" w:cs="宋体"/>
                <w:b w:val="0"/>
                <w:bCs w:val="0"/>
                <w:color w:val="auto"/>
                <w:sz w:val="21"/>
                <w:szCs w:val="21"/>
                <w:highlight w:val="none"/>
                <w:lang w:val="en-US" w:eastAsia="zh-CN"/>
              </w:rPr>
              <w:t>合同（协议）复印件。合同（协议）要求体现签订双方名称、采购内容、签订日期、签订双方盖章）。未按要求提供的不予以计分。（满分5分）</w:t>
            </w:r>
          </w:p>
        </w:tc>
        <w:tc>
          <w:tcPr>
            <w:tcW w:w="957" w:type="dxa"/>
            <w:noWrap w:val="0"/>
            <w:vAlign w:val="center"/>
          </w:tcPr>
          <w:p>
            <w:pPr>
              <w:spacing w:line="360" w:lineRule="auto"/>
              <w:jc w:val="center"/>
              <w:rPr>
                <w:rFonts w:hint="default" w:ascii="宋体" w:hAnsi="宋体" w:eastAsia="宋体" w:cs="宋体"/>
                <w:bCs/>
                <w:color w:val="auto"/>
                <w:szCs w:val="21"/>
                <w:highlight w:val="none"/>
                <w:lang w:val="en-US" w:eastAsia="zh-CN"/>
              </w:rPr>
            </w:pPr>
            <w:r>
              <w:rPr>
                <w:rFonts w:hint="eastAsia" w:ascii="宋体" w:hAnsi="宋体" w:eastAsia="宋体" w:cs="宋体"/>
                <w:bCs/>
                <w:color w:val="auto"/>
                <w:szCs w:val="21"/>
                <w:highlight w:val="none"/>
                <w:lang w:val="en-US" w:eastAsia="zh-CN"/>
              </w:rPr>
              <w:t>5分</w:t>
            </w:r>
          </w:p>
        </w:tc>
      </w:tr>
    </w:tbl>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终止竞争性磋商采购活动</w:t>
      </w:r>
    </w:p>
    <w:p>
      <w:pPr>
        <w:pStyle w:val="24"/>
        <w:rPr>
          <w:color w:val="auto"/>
          <w:highlight w:val="none"/>
        </w:rPr>
      </w:pPr>
      <w:r>
        <w:rPr>
          <w:rFonts w:hint="eastAsia" w:ascii="宋体" w:hAnsi="宋体" w:eastAsia="宋体" w:cs="宋体"/>
          <w:color w:val="auto"/>
          <w:highlight w:val="none"/>
        </w:rPr>
        <w:t>磋商小组发现竞争性磋商文件存在歧义、重大缺陷导致评审工作无法进行，或者竞争性磋商文件内容违反国家有关规定的，要停止评审工作并向采购人或采购代理机构书面说明情况，采购人或采购代理机构应当修改竞争性磋商文件后重新组织采购活动；发现供应商提供虚假材料、串通等违法违规行为的，要及时向采购人或采购代理机构报告。</w:t>
      </w: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3"/>
        <w:ind w:firstLine="643" w:firstLineChars="200"/>
        <w:jc w:val="center"/>
        <w:rPr>
          <w:color w:val="auto"/>
          <w:sz w:val="32"/>
          <w:szCs w:val="20"/>
          <w:highlight w:val="none"/>
        </w:rPr>
      </w:pPr>
      <w:bookmarkStart w:id="42" w:name="_Toc842"/>
      <w:r>
        <w:rPr>
          <w:rFonts w:hint="eastAsia"/>
          <w:color w:val="auto"/>
          <w:sz w:val="32"/>
          <w:szCs w:val="20"/>
          <w:highlight w:val="none"/>
        </w:rPr>
        <w:t>第五章 响应文件格式</w:t>
      </w:r>
      <w:bookmarkEnd w:id="41"/>
      <w:bookmarkEnd w:id="42"/>
    </w:p>
    <w:p>
      <w:pPr>
        <w:spacing w:line="240" w:lineRule="atLeast"/>
        <w:jc w:val="center"/>
        <w:rPr>
          <w:rFonts w:ascii="宋体"/>
          <w:b/>
          <w:color w:val="auto"/>
          <w:sz w:val="32"/>
          <w:szCs w:val="32"/>
          <w:highlight w:val="none"/>
        </w:rPr>
      </w:pPr>
    </w:p>
    <w:p>
      <w:pPr>
        <w:snapToGrid w:val="0"/>
        <w:spacing w:before="50" w:after="50"/>
        <w:ind w:firstLine="643" w:firstLineChars="200"/>
        <w:outlineLvl w:val="1"/>
        <w:rPr>
          <w:rFonts w:ascii="宋体" w:hAnsi="宋体"/>
          <w:b/>
          <w:bCs/>
          <w:color w:val="auto"/>
          <w:sz w:val="32"/>
          <w:szCs w:val="32"/>
          <w:highlight w:val="none"/>
        </w:rPr>
      </w:pPr>
      <w:bookmarkStart w:id="43" w:name="_Toc44229898"/>
      <w:r>
        <w:rPr>
          <w:rFonts w:hint="eastAsia" w:ascii="宋体" w:hAnsi="宋体"/>
          <w:b/>
          <w:color w:val="auto"/>
          <w:sz w:val="32"/>
          <w:szCs w:val="32"/>
          <w:highlight w:val="none"/>
        </w:rPr>
        <w:t>（</w:t>
      </w:r>
      <w:bookmarkStart w:id="44" w:name="_Toc35611515"/>
      <w:bookmarkStart w:id="45" w:name="_Toc35611437"/>
      <w:r>
        <w:rPr>
          <w:rFonts w:hint="eastAsia" w:ascii="宋体" w:hAnsi="宋体"/>
          <w:b/>
          <w:bCs/>
          <w:color w:val="auto"/>
          <w:sz w:val="32"/>
          <w:szCs w:val="32"/>
          <w:highlight w:val="none"/>
        </w:rPr>
        <w:t>响应文件外层包装封面格式</w:t>
      </w:r>
      <w:bookmarkEnd w:id="44"/>
      <w:bookmarkEnd w:id="45"/>
      <w:r>
        <w:rPr>
          <w:rFonts w:hint="eastAsia" w:ascii="宋体" w:hAnsi="宋体"/>
          <w:b/>
          <w:color w:val="auto"/>
          <w:sz w:val="32"/>
          <w:szCs w:val="32"/>
          <w:highlight w:val="none"/>
        </w:rPr>
        <w:t xml:space="preserve"> ）</w:t>
      </w:r>
      <w:bookmarkEnd w:id="43"/>
    </w:p>
    <w:p>
      <w:pPr>
        <w:snapToGrid w:val="0"/>
        <w:spacing w:beforeLines="50" w:after="50"/>
        <w:rPr>
          <w:rFonts w:ascii="宋体" w:hAnsi="宋体"/>
          <w:color w:val="auto"/>
          <w:sz w:val="24"/>
          <w:szCs w:val="20"/>
          <w:highlight w:val="none"/>
        </w:rPr>
      </w:pPr>
    </w:p>
    <w:p>
      <w:pPr>
        <w:snapToGrid w:val="0"/>
        <w:spacing w:beforeLines="50" w:after="50"/>
        <w:jc w:val="center"/>
        <w:rPr>
          <w:rFonts w:ascii="宋体" w:hAnsi="宋体"/>
          <w:bCs/>
          <w:color w:val="auto"/>
          <w:sz w:val="24"/>
          <w:szCs w:val="20"/>
          <w:highlight w:val="none"/>
        </w:rPr>
      </w:pPr>
    </w:p>
    <w:p>
      <w:pPr>
        <w:snapToGrid w:val="0"/>
        <w:spacing w:beforeLines="50" w:after="50"/>
        <w:ind w:firstLine="880" w:firstLineChars="20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响  应  文  件</w:t>
      </w: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仿宋_GB2312" w:hAnsi="仿宋_GB2312" w:eastAsia="仿宋_GB2312" w:cs="仿宋_GB2312"/>
          <w:bCs/>
          <w:color w:val="auto"/>
          <w:sz w:val="32"/>
          <w:szCs w:val="32"/>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项目名称：</w:t>
      </w:r>
    </w:p>
    <w:p>
      <w:pPr>
        <w:snapToGrid w:val="0"/>
        <w:spacing w:beforeLines="50" w:after="50"/>
        <w:ind w:firstLine="480" w:firstLineChars="150"/>
        <w:rPr>
          <w:rFonts w:ascii="仿宋_GB2312" w:hAnsi="仿宋_GB2312" w:eastAsia="仿宋_GB2312" w:cs="仿宋_GB2312"/>
          <w:bCs/>
          <w:color w:val="auto"/>
          <w:sz w:val="32"/>
          <w:szCs w:val="32"/>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项目编号：</w:t>
      </w:r>
    </w:p>
    <w:p>
      <w:pPr>
        <w:snapToGrid w:val="0"/>
        <w:spacing w:beforeLines="50" w:after="50"/>
        <w:ind w:firstLine="480" w:firstLineChars="150"/>
        <w:rPr>
          <w:rFonts w:ascii="仿宋_GB2312" w:hAnsi="仿宋_GB2312" w:eastAsia="仿宋_GB2312" w:cs="仿宋_GB2312"/>
          <w:bCs/>
          <w:color w:val="auto"/>
          <w:sz w:val="32"/>
          <w:szCs w:val="32"/>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所竞分标（如有则填写，无分标时填写“无”或者留空）：</w:t>
      </w:r>
    </w:p>
    <w:p>
      <w:pPr>
        <w:snapToGrid w:val="0"/>
        <w:spacing w:beforeLines="50" w:after="50"/>
        <w:rPr>
          <w:rFonts w:ascii="仿宋_GB2312" w:hAnsi="仿宋_GB2312" w:eastAsia="仿宋_GB2312" w:cs="仿宋_GB2312"/>
          <w:bCs/>
          <w:color w:val="auto"/>
          <w:sz w:val="32"/>
          <w:szCs w:val="32"/>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供应商名称：</w:t>
      </w:r>
    </w:p>
    <w:p>
      <w:pPr>
        <w:snapToGrid w:val="0"/>
        <w:spacing w:beforeLines="50" w:after="50"/>
        <w:rPr>
          <w:rFonts w:ascii="仿宋_GB2312" w:hAnsi="仿宋_GB2312" w:eastAsia="仿宋_GB2312" w:cs="仿宋_GB2312"/>
          <w:bCs/>
          <w:color w:val="auto"/>
          <w:sz w:val="32"/>
          <w:szCs w:val="32"/>
          <w:highlight w:val="none"/>
        </w:rPr>
      </w:pPr>
    </w:p>
    <w:p>
      <w:pPr>
        <w:snapToGrid w:val="0"/>
        <w:spacing w:beforeLines="50" w:after="50"/>
        <w:ind w:firstLine="640" w:firstLineChars="200"/>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首次响应文件提交截止时间前不得启封</w:t>
      </w:r>
    </w:p>
    <w:p>
      <w:pPr>
        <w:snapToGrid w:val="0"/>
        <w:spacing w:beforeLines="50" w:after="50"/>
        <w:ind w:firstLine="5440" w:firstLineChars="1700"/>
        <w:jc w:val="center"/>
        <w:rPr>
          <w:rFonts w:ascii="仿宋_GB2312" w:hAnsi="仿宋_GB2312" w:eastAsia="仿宋_GB2312" w:cs="仿宋_GB2312"/>
          <w:bCs/>
          <w:color w:val="auto"/>
          <w:sz w:val="32"/>
          <w:szCs w:val="32"/>
          <w:highlight w:val="none"/>
        </w:rPr>
      </w:pPr>
    </w:p>
    <w:p>
      <w:pPr>
        <w:snapToGrid w:val="0"/>
        <w:spacing w:beforeLines="50" w:after="50"/>
        <w:ind w:firstLine="640" w:firstLineChars="200"/>
        <w:jc w:val="center"/>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年    月    日</w:t>
      </w:r>
    </w:p>
    <w:p>
      <w:pPr>
        <w:spacing w:line="240" w:lineRule="atLeast"/>
        <w:ind w:firstLine="480" w:firstLineChars="200"/>
        <w:rPr>
          <w:rFonts w:ascii="宋体" w:hAnsi="宋体"/>
          <w:bCs/>
          <w:color w:val="auto"/>
          <w:sz w:val="32"/>
          <w:szCs w:val="32"/>
          <w:highlight w:val="none"/>
        </w:rPr>
      </w:pPr>
      <w:r>
        <w:rPr>
          <w:rFonts w:ascii="宋体" w:hAnsi="宋体"/>
          <w:bCs/>
          <w:color w:val="auto"/>
          <w:sz w:val="24"/>
          <w:highlight w:val="none"/>
        </w:rPr>
        <w:br w:type="page"/>
      </w:r>
      <w:r>
        <w:rPr>
          <w:rFonts w:hint="eastAsia" w:ascii="宋体" w:hAnsi="宋体"/>
          <w:b/>
          <w:bCs/>
          <w:color w:val="auto"/>
          <w:sz w:val="32"/>
          <w:szCs w:val="32"/>
          <w:highlight w:val="none"/>
        </w:rPr>
        <w:t>（响应文件封面格式）</w:t>
      </w:r>
    </w:p>
    <w:p>
      <w:pPr>
        <w:spacing w:line="240" w:lineRule="atLeast"/>
        <w:jc w:val="center"/>
        <w:rPr>
          <w:rFonts w:ascii="宋体" w:hAnsi="宋体"/>
          <w:bCs/>
          <w:color w:val="auto"/>
          <w:sz w:val="24"/>
          <w:highlight w:val="none"/>
        </w:rPr>
      </w:pPr>
    </w:p>
    <w:p>
      <w:pPr>
        <w:spacing w:line="240" w:lineRule="atLeast"/>
        <w:jc w:val="center"/>
        <w:rPr>
          <w:rFonts w:ascii="宋体" w:hAnsi="宋体"/>
          <w:bCs/>
          <w:color w:val="auto"/>
          <w:sz w:val="24"/>
          <w:highlight w:val="none"/>
        </w:rPr>
      </w:pPr>
    </w:p>
    <w:p>
      <w:pPr>
        <w:spacing w:line="240" w:lineRule="atLeast"/>
        <w:jc w:val="center"/>
        <w:rPr>
          <w:rFonts w:ascii="宋体" w:hAnsi="宋体"/>
          <w:bCs/>
          <w:color w:val="auto"/>
          <w:sz w:val="24"/>
          <w:highlight w:val="none"/>
        </w:rPr>
      </w:pPr>
    </w:p>
    <w:p>
      <w:pPr>
        <w:spacing w:line="240" w:lineRule="atLeast"/>
        <w:ind w:firstLine="420" w:firstLineChars="200"/>
        <w:jc w:val="right"/>
        <w:rPr>
          <w:rFonts w:ascii="方正小标宋简体" w:hAnsi="方正小标宋简体" w:eastAsia="方正小标宋简体" w:cs="方正小标宋简体"/>
          <w:bCs/>
          <w:color w:val="auto"/>
          <w:sz w:val="44"/>
          <w:szCs w:val="44"/>
          <w:highlight w:val="none"/>
        </w:rPr>
      </w:pPr>
      <w:r>
        <w:rPr>
          <w:rFonts w:hint="eastAsia" w:ascii="宋体" w:hAnsi="宋体"/>
          <w:bCs/>
          <w:color w:val="auto"/>
          <w:highlight w:val="none"/>
        </w:rPr>
        <w:t>正本/副本</w:t>
      </w:r>
    </w:p>
    <w:p>
      <w:pPr>
        <w:spacing w:line="240" w:lineRule="atLeast"/>
        <w:jc w:val="center"/>
        <w:rPr>
          <w:rFonts w:ascii="方正小标宋简体" w:hAnsi="方正小标宋简体" w:eastAsia="方正小标宋简体" w:cs="方正小标宋简体"/>
          <w:bCs/>
          <w:color w:val="auto"/>
          <w:sz w:val="44"/>
          <w:szCs w:val="44"/>
          <w:highlight w:val="none"/>
        </w:rPr>
      </w:pPr>
    </w:p>
    <w:p>
      <w:pPr>
        <w:spacing w:line="240" w:lineRule="atLeast"/>
        <w:ind w:firstLine="880" w:firstLineChars="200"/>
        <w:jc w:val="center"/>
        <w:rPr>
          <w:rFonts w:ascii="宋体" w:hAnsi="宋体"/>
          <w:b/>
          <w:color w:val="auto"/>
          <w:sz w:val="32"/>
          <w:szCs w:val="32"/>
          <w:highlight w:val="none"/>
        </w:rPr>
      </w:pPr>
      <w:r>
        <w:rPr>
          <w:rFonts w:hint="eastAsia" w:ascii="方正小标宋简体" w:hAnsi="方正小标宋简体" w:eastAsia="方正小标宋简体" w:cs="方正小标宋简体"/>
          <w:bCs/>
          <w:color w:val="auto"/>
          <w:sz w:val="44"/>
          <w:szCs w:val="44"/>
          <w:highlight w:val="none"/>
        </w:rPr>
        <w:t>响  应  文  件</w:t>
      </w:r>
      <w:r>
        <w:rPr>
          <w:rFonts w:hint="eastAsia" w:ascii="宋体" w:hAnsi="宋体"/>
          <w:color w:val="auto"/>
          <w:szCs w:val="21"/>
          <w:highlight w:val="none"/>
        </w:rPr>
        <w:t>(封面)</w:t>
      </w:r>
    </w:p>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p>
    <w:p>
      <w:pPr>
        <w:spacing w:line="360" w:lineRule="auto"/>
        <w:jc w:val="center"/>
        <w:rPr>
          <w:rFonts w:ascii="宋体" w:hAnsi="宋体"/>
          <w:color w:val="auto"/>
          <w:szCs w:val="21"/>
          <w:highlight w:val="none"/>
        </w:rPr>
      </w:pPr>
    </w:p>
    <w:p>
      <w:pPr>
        <w:spacing w:line="360" w:lineRule="auto"/>
        <w:jc w:val="left"/>
        <w:rPr>
          <w:rFonts w:ascii="仿宋_GB2312" w:hAnsi="仿宋_GB2312" w:eastAsia="仿宋_GB2312" w:cs="仿宋_GB2312"/>
          <w:color w:val="auto"/>
          <w:sz w:val="32"/>
          <w:szCs w:val="32"/>
          <w:highlight w:val="none"/>
        </w:rPr>
      </w:pPr>
    </w:p>
    <w:p>
      <w:pPr>
        <w:spacing w:line="360" w:lineRule="auto"/>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项目编号：</w:t>
      </w:r>
    </w:p>
    <w:p>
      <w:pPr>
        <w:spacing w:line="360" w:lineRule="auto"/>
        <w:ind w:firstLine="640" w:firstLineChars="200"/>
        <w:jc w:val="left"/>
        <w:rPr>
          <w:rFonts w:ascii="仿宋_GB2312" w:hAnsi="仿宋_GB2312" w:eastAsia="仿宋_GB2312" w:cs="仿宋_GB2312"/>
          <w:color w:val="auto"/>
          <w:sz w:val="32"/>
          <w:szCs w:val="32"/>
          <w:highlight w:val="none"/>
          <w:u w:val="single"/>
        </w:rPr>
      </w:pPr>
    </w:p>
    <w:p>
      <w:pPr>
        <w:tabs>
          <w:tab w:val="left" w:pos="3240"/>
        </w:tabs>
        <w:spacing w:line="360" w:lineRule="auto"/>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项目名称：</w:t>
      </w:r>
    </w:p>
    <w:p>
      <w:pPr>
        <w:tabs>
          <w:tab w:val="left" w:pos="3240"/>
        </w:tabs>
        <w:spacing w:line="360" w:lineRule="auto"/>
        <w:ind w:firstLine="640" w:firstLineChars="200"/>
        <w:jc w:val="left"/>
        <w:rPr>
          <w:rFonts w:ascii="仿宋_GB2312" w:hAnsi="仿宋_GB2312" w:eastAsia="仿宋_GB2312" w:cs="仿宋_GB2312"/>
          <w:color w:val="auto"/>
          <w:sz w:val="32"/>
          <w:szCs w:val="32"/>
          <w:highlight w:val="none"/>
          <w:u w:val="single"/>
        </w:rPr>
      </w:pPr>
    </w:p>
    <w:p>
      <w:pPr>
        <w:spacing w:line="360" w:lineRule="auto"/>
        <w:ind w:firstLine="640" w:firstLineChars="200"/>
        <w:jc w:val="left"/>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所竞分标</w:t>
      </w:r>
      <w:r>
        <w:rPr>
          <w:rFonts w:hint="eastAsia" w:ascii="仿宋_GB2312" w:hAnsi="仿宋_GB2312" w:eastAsia="仿宋_GB2312" w:cs="仿宋_GB2312"/>
          <w:bCs/>
          <w:color w:val="auto"/>
          <w:sz w:val="32"/>
          <w:szCs w:val="32"/>
          <w:highlight w:val="none"/>
        </w:rPr>
        <w:t>（如有则填写，无分标时填写“无”或者留空）</w:t>
      </w:r>
      <w:r>
        <w:rPr>
          <w:rFonts w:hint="eastAsia" w:ascii="仿宋_GB2312" w:hAnsi="仿宋_GB2312" w:eastAsia="仿宋_GB2312" w:cs="仿宋_GB2312"/>
          <w:color w:val="auto"/>
          <w:sz w:val="32"/>
          <w:szCs w:val="32"/>
          <w:highlight w:val="none"/>
        </w:rPr>
        <w:t>：</w:t>
      </w:r>
    </w:p>
    <w:p>
      <w:pPr>
        <w:spacing w:line="360" w:lineRule="auto"/>
        <w:ind w:firstLine="640" w:firstLineChars="200"/>
        <w:jc w:val="left"/>
        <w:rPr>
          <w:rFonts w:ascii="仿宋_GB2312" w:hAnsi="仿宋_GB2312" w:eastAsia="仿宋_GB2312" w:cs="仿宋_GB2312"/>
          <w:color w:val="auto"/>
          <w:sz w:val="32"/>
          <w:szCs w:val="32"/>
          <w:highlight w:val="none"/>
          <w:u w:val="single"/>
        </w:rPr>
      </w:pPr>
    </w:p>
    <w:p>
      <w:pPr>
        <w:spacing w:line="360" w:lineRule="auto"/>
        <w:ind w:firstLine="640" w:firstLineChars="200"/>
        <w:jc w:val="left"/>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供应商名称：</w:t>
      </w:r>
    </w:p>
    <w:p>
      <w:pPr>
        <w:snapToGrid w:val="0"/>
        <w:spacing w:beforeLines="50" w:after="50"/>
        <w:rPr>
          <w:rFonts w:ascii="仿宋_GB2312" w:hAnsi="仿宋_GB2312" w:eastAsia="仿宋_GB2312" w:cs="仿宋_GB2312"/>
          <w:color w:val="auto"/>
          <w:sz w:val="32"/>
          <w:szCs w:val="32"/>
          <w:highlight w:val="none"/>
        </w:rPr>
      </w:pPr>
    </w:p>
    <w:p>
      <w:pPr>
        <w:snapToGrid w:val="0"/>
        <w:spacing w:beforeLines="50" w:after="50"/>
        <w:rPr>
          <w:rFonts w:ascii="仿宋_GB2312" w:hAnsi="仿宋_GB2312" w:eastAsia="仿宋_GB2312" w:cs="仿宋_GB2312"/>
          <w:color w:val="auto"/>
          <w:sz w:val="32"/>
          <w:szCs w:val="32"/>
          <w:highlight w:val="none"/>
        </w:rPr>
      </w:pPr>
    </w:p>
    <w:p>
      <w:pPr>
        <w:snapToGrid w:val="0"/>
        <w:spacing w:beforeLines="50" w:after="50"/>
        <w:rPr>
          <w:rFonts w:ascii="仿宋_GB2312" w:hAnsi="仿宋_GB2312" w:eastAsia="仿宋_GB2312" w:cs="仿宋_GB2312"/>
          <w:color w:val="auto"/>
          <w:sz w:val="32"/>
          <w:szCs w:val="32"/>
          <w:highlight w:val="none"/>
        </w:rPr>
      </w:pPr>
    </w:p>
    <w:p>
      <w:pPr>
        <w:snapToGrid w:val="0"/>
        <w:spacing w:beforeLines="50" w:after="50"/>
        <w:ind w:firstLine="640" w:firstLineChars="200"/>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    月    日</w:t>
      </w:r>
    </w:p>
    <w:p>
      <w:pPr>
        <w:snapToGrid w:val="0"/>
        <w:spacing w:beforeLines="50" w:after="50"/>
        <w:ind w:firstLine="640" w:firstLineChars="200"/>
        <w:jc w:val="center"/>
        <w:rPr>
          <w:rFonts w:ascii="仿宋_GB2312" w:hAnsi="仿宋_GB2312" w:eastAsia="仿宋_GB2312" w:cs="仿宋_GB2312"/>
          <w:bCs/>
          <w:color w:val="auto"/>
          <w:sz w:val="32"/>
          <w:szCs w:val="32"/>
          <w:highlight w:val="none"/>
        </w:rPr>
      </w:pPr>
      <w:r>
        <w:rPr>
          <w:rFonts w:ascii="仿宋_GB2312" w:hAnsi="仿宋_GB2312" w:eastAsia="仿宋_GB2312" w:cs="仿宋_GB2312"/>
          <w:color w:val="auto"/>
          <w:sz w:val="32"/>
          <w:szCs w:val="32"/>
          <w:highlight w:val="none"/>
        </w:rPr>
        <w:br w:type="page"/>
      </w:r>
    </w:p>
    <w:p>
      <w:pPr>
        <w:snapToGrid w:val="0"/>
        <w:spacing w:beforeLines="50" w:after="50" w:line="360" w:lineRule="auto"/>
        <w:ind w:firstLine="643" w:firstLineChars="200"/>
        <w:outlineLvl w:val="1"/>
        <w:rPr>
          <w:rFonts w:ascii="宋体" w:hAnsi="宋体"/>
          <w:b/>
          <w:bCs/>
          <w:color w:val="auto"/>
          <w:sz w:val="32"/>
          <w:szCs w:val="32"/>
          <w:highlight w:val="none"/>
        </w:rPr>
      </w:pPr>
      <w:bookmarkStart w:id="46" w:name="_Toc35611438"/>
      <w:bookmarkStart w:id="47" w:name="_Toc44229899"/>
      <w:bookmarkStart w:id="48" w:name="_Toc35611516"/>
      <w:bookmarkStart w:id="49" w:name="_Toc31723070"/>
      <w:bookmarkStart w:id="50" w:name="_Toc31728084"/>
      <w:r>
        <w:rPr>
          <w:rFonts w:hint="eastAsia" w:ascii="宋体" w:hAnsi="宋体"/>
          <w:b/>
          <w:bCs/>
          <w:color w:val="auto"/>
          <w:sz w:val="32"/>
          <w:szCs w:val="32"/>
          <w:highlight w:val="none"/>
        </w:rPr>
        <w:t>一、资格证明文件格式</w:t>
      </w:r>
      <w:bookmarkEnd w:id="46"/>
      <w:bookmarkEnd w:id="47"/>
      <w:bookmarkEnd w:id="48"/>
      <w:bookmarkEnd w:id="49"/>
      <w:bookmarkEnd w:id="50"/>
    </w:p>
    <w:p>
      <w:pPr>
        <w:snapToGrid w:val="0"/>
        <w:spacing w:beforeLines="50" w:after="50" w:line="360" w:lineRule="auto"/>
        <w:ind w:firstLine="643" w:firstLineChars="200"/>
        <w:jc w:val="left"/>
        <w:rPr>
          <w:rFonts w:ascii="宋体" w:hAnsi="宋体"/>
          <w:b/>
          <w:color w:val="auto"/>
          <w:sz w:val="24"/>
          <w:highlight w:val="none"/>
        </w:rPr>
      </w:pPr>
      <w:r>
        <w:rPr>
          <w:rFonts w:hint="eastAsia" w:ascii="宋体" w:hAnsi="宋体"/>
          <w:b/>
          <w:color w:val="auto"/>
          <w:sz w:val="32"/>
          <w:szCs w:val="32"/>
          <w:highlight w:val="none"/>
        </w:rPr>
        <w:t>1.资格证明文件封面格式：</w:t>
      </w:r>
    </w:p>
    <w:p>
      <w:pPr>
        <w:snapToGrid w:val="0"/>
        <w:spacing w:beforeLines="50" w:after="50"/>
        <w:rPr>
          <w:rFonts w:ascii="宋体" w:hAnsi="宋体"/>
          <w:color w:val="auto"/>
          <w:sz w:val="24"/>
          <w:highlight w:val="none"/>
        </w:rPr>
      </w:pPr>
    </w:p>
    <w:p>
      <w:pPr>
        <w:spacing w:line="240" w:lineRule="atLeast"/>
        <w:ind w:firstLine="420" w:firstLineChars="200"/>
        <w:jc w:val="right"/>
        <w:rPr>
          <w:rFonts w:ascii="宋体" w:hAnsi="宋体"/>
          <w:color w:val="auto"/>
          <w:sz w:val="24"/>
          <w:szCs w:val="20"/>
          <w:highlight w:val="none"/>
        </w:rPr>
      </w:pPr>
      <w:r>
        <w:rPr>
          <w:rFonts w:hint="eastAsia" w:ascii="宋体" w:hAnsi="宋体"/>
          <w:bCs/>
          <w:color w:val="auto"/>
          <w:highlight w:val="none"/>
        </w:rPr>
        <w:t>正本/副本</w:t>
      </w:r>
    </w:p>
    <w:p>
      <w:pPr>
        <w:snapToGrid w:val="0"/>
        <w:spacing w:beforeLines="50" w:after="50"/>
        <w:rPr>
          <w:rFonts w:ascii="宋体" w:hAnsi="宋体"/>
          <w:color w:val="auto"/>
          <w:sz w:val="24"/>
          <w:szCs w:val="20"/>
          <w:highlight w:val="none"/>
        </w:rPr>
      </w:pPr>
    </w:p>
    <w:p>
      <w:pPr>
        <w:snapToGrid w:val="0"/>
        <w:spacing w:beforeLines="50" w:after="50"/>
        <w:ind w:firstLine="880" w:firstLineChars="20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资  格  证  明  文  件</w:t>
      </w: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项目名称：</w:t>
      </w:r>
    </w:p>
    <w:p>
      <w:pPr>
        <w:snapToGrid w:val="0"/>
        <w:spacing w:beforeLines="50" w:after="50"/>
        <w:ind w:firstLine="720" w:firstLineChars="225"/>
        <w:rPr>
          <w:rFonts w:ascii="仿宋_GB2312" w:hAnsi="仿宋_GB2312" w:eastAsia="仿宋_GB2312" w:cs="仿宋_GB2312"/>
          <w:bCs/>
          <w:color w:val="auto"/>
          <w:sz w:val="32"/>
          <w:szCs w:val="32"/>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项目编号：</w:t>
      </w:r>
    </w:p>
    <w:p>
      <w:pPr>
        <w:snapToGrid w:val="0"/>
        <w:spacing w:beforeLines="50" w:after="50"/>
        <w:ind w:firstLine="720" w:firstLineChars="225"/>
        <w:rPr>
          <w:rFonts w:ascii="仿宋_GB2312" w:hAnsi="仿宋_GB2312" w:eastAsia="仿宋_GB2312" w:cs="仿宋_GB2312"/>
          <w:bCs/>
          <w:color w:val="auto"/>
          <w:sz w:val="32"/>
          <w:szCs w:val="32"/>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所竞分标（如有则填写，无分标时填写“无”或者留空）：</w:t>
      </w:r>
    </w:p>
    <w:p>
      <w:pPr>
        <w:snapToGrid w:val="0"/>
        <w:spacing w:beforeLines="50" w:after="50"/>
        <w:ind w:firstLine="720" w:firstLineChars="225"/>
        <w:rPr>
          <w:rFonts w:ascii="仿宋_GB2312" w:hAnsi="仿宋_GB2312" w:eastAsia="仿宋_GB2312" w:cs="仿宋_GB2312"/>
          <w:bCs/>
          <w:color w:val="auto"/>
          <w:sz w:val="32"/>
          <w:szCs w:val="32"/>
          <w:highlight w:val="none"/>
        </w:rPr>
      </w:pPr>
    </w:p>
    <w:p>
      <w:pPr>
        <w:pStyle w:val="9"/>
        <w:snapToGrid w:val="0"/>
        <w:spacing w:before="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供应商名称：</w:t>
      </w:r>
    </w:p>
    <w:p>
      <w:pPr>
        <w:pStyle w:val="9"/>
        <w:snapToGrid w:val="0"/>
        <w:spacing w:before="50" w:after="50"/>
        <w:ind w:firstLine="720" w:firstLineChars="225"/>
        <w:rPr>
          <w:rFonts w:ascii="仿宋_GB2312" w:hAnsi="仿宋_GB2312" w:eastAsia="仿宋_GB2312" w:cs="仿宋_GB2312"/>
          <w:bCs/>
          <w:color w:val="auto"/>
          <w:sz w:val="32"/>
          <w:szCs w:val="32"/>
          <w:highlight w:val="none"/>
        </w:rPr>
      </w:pPr>
    </w:p>
    <w:p>
      <w:pPr>
        <w:pStyle w:val="9"/>
        <w:snapToGrid w:val="0"/>
        <w:spacing w:before="50" w:after="50"/>
        <w:ind w:firstLine="720" w:firstLineChars="225"/>
        <w:rPr>
          <w:rFonts w:ascii="仿宋_GB2312" w:hAnsi="仿宋_GB2312" w:eastAsia="仿宋_GB2312" w:cs="仿宋_GB2312"/>
          <w:bCs/>
          <w:color w:val="auto"/>
          <w:sz w:val="32"/>
          <w:szCs w:val="32"/>
          <w:highlight w:val="none"/>
        </w:rPr>
      </w:pPr>
    </w:p>
    <w:p>
      <w:pPr>
        <w:pStyle w:val="9"/>
        <w:snapToGrid w:val="0"/>
        <w:spacing w:before="50" w:after="50"/>
        <w:ind w:firstLine="720" w:firstLineChars="225"/>
        <w:rPr>
          <w:rFonts w:ascii="仿宋_GB2312" w:hAnsi="仿宋_GB2312" w:eastAsia="仿宋_GB2312" w:cs="仿宋_GB2312"/>
          <w:bCs/>
          <w:color w:val="auto"/>
          <w:sz w:val="32"/>
          <w:szCs w:val="32"/>
          <w:highlight w:val="none"/>
        </w:rPr>
      </w:pPr>
    </w:p>
    <w:p>
      <w:pPr>
        <w:pStyle w:val="9"/>
        <w:snapToGrid w:val="0"/>
        <w:spacing w:before="50" w:after="50"/>
        <w:ind w:firstLine="1280" w:firstLineChars="400"/>
        <w:rPr>
          <w:rFonts w:ascii="仿宋_GB2312" w:hAnsi="仿宋_GB2312" w:eastAsia="仿宋_GB2312" w:cs="仿宋_GB2312"/>
          <w:bCs/>
          <w:color w:val="auto"/>
          <w:sz w:val="32"/>
          <w:szCs w:val="32"/>
          <w:highlight w:val="none"/>
        </w:rPr>
      </w:pPr>
    </w:p>
    <w:p>
      <w:pPr>
        <w:snapToGrid w:val="0"/>
        <w:spacing w:beforeLines="50" w:after="50"/>
        <w:ind w:firstLine="640" w:firstLineChars="200"/>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    月    日</w:t>
      </w:r>
    </w:p>
    <w:p>
      <w:pPr>
        <w:snapToGrid w:val="0"/>
        <w:spacing w:beforeLines="50" w:after="50" w:line="360" w:lineRule="auto"/>
        <w:ind w:left="142" w:firstLine="480" w:firstLineChars="200"/>
        <w:jc w:val="left"/>
        <w:rPr>
          <w:rFonts w:ascii="宋体" w:hAnsi="宋体"/>
          <w:b/>
          <w:bCs/>
          <w:color w:val="auto"/>
          <w:sz w:val="32"/>
          <w:szCs w:val="32"/>
          <w:highlight w:val="none"/>
        </w:rPr>
      </w:pPr>
      <w:r>
        <w:rPr>
          <w:rFonts w:ascii="宋体" w:hAnsi="宋体"/>
          <w:color w:val="auto"/>
          <w:sz w:val="24"/>
          <w:highlight w:val="none"/>
        </w:rPr>
        <w:br w:type="page"/>
      </w:r>
      <w:r>
        <w:rPr>
          <w:rFonts w:hint="eastAsia" w:ascii="宋体" w:hAnsi="宋体"/>
          <w:b/>
          <w:bCs/>
          <w:color w:val="auto"/>
          <w:sz w:val="32"/>
          <w:szCs w:val="32"/>
          <w:highlight w:val="none"/>
        </w:rPr>
        <w:t>2.资格证明文件目录</w:t>
      </w:r>
    </w:p>
    <w:p>
      <w:pPr>
        <w:snapToGrid w:val="0"/>
        <w:spacing w:beforeLines="50" w:after="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根据磋商文件规定及供应商提供的材料自行编写目录（部分格式后附）。</w:t>
      </w:r>
    </w:p>
    <w:p>
      <w:pPr>
        <w:snapToGrid w:val="0"/>
        <w:spacing w:beforeLines="50" w:after="50"/>
        <w:rPr>
          <w:rFonts w:ascii="宋体" w:hAnsi="宋体"/>
          <w:color w:val="auto"/>
          <w:sz w:val="24"/>
          <w:szCs w:val="20"/>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00" w:lineRule="auto"/>
        <w:rPr>
          <w:rFonts w:ascii="宋体" w:hAnsi="宋体"/>
          <w:color w:val="auto"/>
          <w:szCs w:val="21"/>
          <w:highlight w:val="none"/>
        </w:rPr>
      </w:pPr>
    </w:p>
    <w:p>
      <w:pPr>
        <w:spacing w:line="320" w:lineRule="exact"/>
        <w:ind w:firstLine="560" w:firstLineChars="200"/>
        <w:jc w:val="center"/>
        <w:rPr>
          <w:rFonts w:ascii="宋体" w:hAnsi="宋体"/>
          <w:b/>
          <w:color w:val="auto"/>
          <w:sz w:val="32"/>
          <w:szCs w:val="32"/>
          <w:highlight w:val="none"/>
        </w:rPr>
      </w:pPr>
      <w:r>
        <w:rPr>
          <w:rFonts w:ascii="宋体" w:hAnsi="宋体"/>
          <w:color w:val="auto"/>
          <w:sz w:val="28"/>
          <w:szCs w:val="28"/>
          <w:highlight w:val="none"/>
        </w:rPr>
        <w:br w:type="page"/>
      </w:r>
      <w:r>
        <w:rPr>
          <w:rFonts w:hint="eastAsia" w:ascii="宋体" w:hAnsi="宋体"/>
          <w:b/>
          <w:color w:val="auto"/>
          <w:sz w:val="32"/>
          <w:szCs w:val="32"/>
          <w:highlight w:val="none"/>
        </w:rPr>
        <w:t>竞标声明</w:t>
      </w:r>
    </w:p>
    <w:p>
      <w:pPr>
        <w:spacing w:line="320" w:lineRule="exact"/>
        <w:jc w:val="center"/>
        <w:rPr>
          <w:rFonts w:ascii="宋体" w:hAnsi="宋体"/>
          <w:color w:val="auto"/>
          <w:sz w:val="24"/>
          <w:szCs w:val="20"/>
          <w:highlight w:val="none"/>
        </w:rPr>
      </w:pPr>
    </w:p>
    <w:p>
      <w:pPr>
        <w:spacing w:beforeLines="50" w:after="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（采购人名称或采购代理机构名称）</w:t>
      </w:r>
      <w:r>
        <w:rPr>
          <w:rFonts w:hint="eastAsia" w:ascii="宋体" w:hAnsi="宋体" w:cs="宋体"/>
          <w:color w:val="auto"/>
          <w:sz w:val="24"/>
          <w:highlight w:val="none"/>
        </w:rPr>
        <w:t>：</w:t>
      </w:r>
    </w:p>
    <w:p>
      <w:pPr>
        <w:spacing w:beforeLines="50" w:after="50" w:line="420" w:lineRule="exact"/>
        <w:ind w:firstLine="480" w:firstLineChars="200"/>
        <w:contextualSpacing/>
        <w:rPr>
          <w:rFonts w:ascii="宋体" w:hAnsi="宋体" w:cs="宋体"/>
          <w:color w:val="auto"/>
          <w:sz w:val="24"/>
          <w:highlight w:val="none"/>
          <w:u w:val="single"/>
        </w:rPr>
      </w:pPr>
    </w:p>
    <w:p>
      <w:pPr>
        <w:spacing w:beforeLines="50" w:after="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u w:val="single"/>
        </w:rPr>
        <w:t>（供应商名称）</w:t>
      </w:r>
      <w:r>
        <w:rPr>
          <w:rFonts w:hint="eastAsia" w:ascii="宋体" w:hAnsi="宋体" w:cs="宋体"/>
          <w:color w:val="auto"/>
          <w:sz w:val="24"/>
          <w:highlight w:val="none"/>
        </w:rPr>
        <w:t>系中华人民共和国合法供应商，经营地址。</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我方愿意参加贵方组织的</w:t>
      </w:r>
      <w:r>
        <w:rPr>
          <w:rFonts w:hint="eastAsia" w:ascii="宋体" w:hAnsi="宋体" w:cs="宋体"/>
          <w:color w:val="auto"/>
          <w:sz w:val="24"/>
          <w:highlight w:val="none"/>
          <w:u w:val="single"/>
        </w:rPr>
        <w:t>（项目名称）</w:t>
      </w:r>
      <w:r>
        <w:rPr>
          <w:rFonts w:hint="eastAsia" w:ascii="宋体" w:hAnsi="宋体" w:cs="宋体"/>
          <w:color w:val="auto"/>
          <w:sz w:val="24"/>
          <w:highlight w:val="none"/>
        </w:rPr>
        <w:t>项目的竞标，为便于贵方公正、择优地确定成交供应商及其竞标产品和服务，我方就本次竞标有关事项郑重声明如下：</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1.我方向贵方提交的所有响应文件、资料都是准确的和真实的。</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我方不是采购人的附属机构；不是为本次采购项目提供整体设计、规范编制或者项目管理、监理、检测等服务的供应商；在获知本项目采购信息后，与采购人聘请的为此项目提供咨询服务的公司及其附属机构没有任何联系。</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3.在此，我方宣布同意如下：</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（1）将按磋商文件的约定履行合同责任和义务；</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（2）已详细审查全部磋商文件，包括澄清或者更正公告（如有）；</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（3）同意提供按照贵方可能要求的与磋商有关的一切数据或者资料；</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（4）响应磋商文件规定的竞标有效期。</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4.我方承诺符合《中华人民共和国政府采购法》第二十二条规定：</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（2）具有良好的商业信誉和健全的财务会计制度；</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（6）法律、行政法规规定的其他条件。</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5.我方在此声明，我方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spacing w:beforeLines="50"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6.根据《中华人民共和国政府采购法实施条例》第五十条要求对政府采购合同进行公告，但政府采购合同中涉及国家秘密、商业秘密的内容除外。我方就对本次响应文件进行注明如下：（两项内容中必须选择一项）</w:t>
      </w:r>
    </w:p>
    <w:p>
      <w:pPr>
        <w:spacing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□我方本次响应文件</w:t>
      </w:r>
      <w:r>
        <w:rPr>
          <w:rFonts w:hint="eastAsia" w:ascii="宋体" w:hAnsi="宋体" w:cs="宋体"/>
          <w:color w:val="auto"/>
          <w:kern w:val="0"/>
          <w:sz w:val="24"/>
          <w:highlight w:val="none"/>
        </w:rPr>
        <w:t>内容中</w:t>
      </w:r>
      <w:r>
        <w:rPr>
          <w:rFonts w:hint="eastAsia" w:ascii="宋体" w:hAnsi="宋体" w:cs="宋体"/>
          <w:color w:val="auto"/>
          <w:sz w:val="24"/>
          <w:highlight w:val="none"/>
        </w:rPr>
        <w:t>未</w:t>
      </w:r>
      <w:r>
        <w:rPr>
          <w:rFonts w:hint="eastAsia" w:ascii="宋体" w:hAnsi="宋体" w:cs="宋体"/>
          <w:color w:val="auto"/>
          <w:kern w:val="0"/>
          <w:sz w:val="24"/>
          <w:highlight w:val="none"/>
        </w:rPr>
        <w:t>涉及商业秘密；</w:t>
      </w:r>
    </w:p>
    <w:p>
      <w:pPr>
        <w:spacing w:line="420" w:lineRule="exact"/>
        <w:ind w:firstLine="480" w:firstLineChars="200"/>
        <w:contextualSpacing/>
        <w:rPr>
          <w:rFonts w:ascii="宋体" w:hAnsi="宋体" w:cs="宋体"/>
          <w:color w:val="auto"/>
          <w:sz w:val="24"/>
          <w:highlight w:val="none"/>
        </w:rPr>
      </w:pPr>
      <w:r>
        <w:rPr>
          <w:rFonts w:hint="eastAsia" w:ascii="宋体" w:hAnsi="宋体" w:cs="宋体"/>
          <w:color w:val="auto"/>
          <w:sz w:val="24"/>
          <w:highlight w:val="none"/>
        </w:rPr>
        <w:t>□我方本次响应文件</w:t>
      </w:r>
      <w:r>
        <w:rPr>
          <w:rFonts w:hint="eastAsia" w:ascii="宋体" w:hAnsi="宋体" w:cs="宋体"/>
          <w:color w:val="auto"/>
          <w:kern w:val="0"/>
          <w:sz w:val="24"/>
          <w:highlight w:val="none"/>
        </w:rPr>
        <w:t>涉及商业秘密的内容有：；</w:t>
      </w:r>
    </w:p>
    <w:p>
      <w:pPr>
        <w:autoSpaceDE w:val="0"/>
        <w:autoSpaceDN w:val="0"/>
        <w:adjustRightInd w:val="0"/>
        <w:spacing w:line="420" w:lineRule="exact"/>
        <w:ind w:firstLine="480" w:firstLineChars="200"/>
        <w:jc w:val="left"/>
        <w:rPr>
          <w:rFonts w:ascii="宋体" w:hAnsi="宋体" w:cs="宋体"/>
          <w:b/>
          <w:color w:val="auto"/>
          <w:kern w:val="0"/>
          <w:sz w:val="24"/>
          <w:highlight w:val="none"/>
        </w:rPr>
      </w:pPr>
      <w:r>
        <w:rPr>
          <w:rFonts w:hint="eastAsia" w:ascii="宋体" w:hAnsi="宋体" w:cs="宋体"/>
          <w:color w:val="auto"/>
          <w:sz w:val="24"/>
          <w:highlight w:val="none"/>
        </w:rPr>
        <w:t>7.</w:t>
      </w:r>
      <w:r>
        <w:rPr>
          <w:rFonts w:hint="eastAsia" w:ascii="宋体" w:hAnsi="宋体" w:cs="宋体"/>
          <w:b/>
          <w:color w:val="auto"/>
          <w:kern w:val="0"/>
          <w:sz w:val="24"/>
          <w:highlight w:val="none"/>
        </w:rPr>
        <w:t>供应商信息：</w:t>
      </w:r>
    </w:p>
    <w:p>
      <w:pPr>
        <w:snapToGrid w:val="0"/>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供应商全称：</w:t>
      </w:r>
      <w:r>
        <w:rPr>
          <w:rFonts w:hint="eastAsia" w:ascii="宋体" w:hAnsi="宋体" w:cs="宋体"/>
          <w:color w:val="auto"/>
          <w:sz w:val="24"/>
          <w:highlight w:val="none"/>
          <w:u w:val="single"/>
        </w:rPr>
        <w:t xml:space="preserve">           　　                             </w:t>
      </w:r>
    </w:p>
    <w:p>
      <w:pPr>
        <w:snapToGrid w:val="0"/>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供应商统一社会信用代码：</w:t>
      </w:r>
      <w:r>
        <w:rPr>
          <w:rFonts w:hint="eastAsia" w:ascii="宋体" w:hAnsi="宋体" w:cs="宋体"/>
          <w:color w:val="auto"/>
          <w:sz w:val="24"/>
          <w:highlight w:val="none"/>
          <w:u w:val="single"/>
        </w:rPr>
        <w:t xml:space="preserve">                                </w:t>
      </w:r>
    </w:p>
    <w:p>
      <w:pPr>
        <w:snapToGrid w:val="0"/>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供应商联系电话：</w:t>
      </w:r>
      <w:r>
        <w:rPr>
          <w:rFonts w:hint="eastAsia" w:ascii="宋体" w:hAnsi="宋体" w:cs="宋体"/>
          <w:color w:val="auto"/>
          <w:sz w:val="24"/>
          <w:highlight w:val="none"/>
          <w:u w:val="single"/>
        </w:rPr>
        <w:t xml:space="preserve">                                        </w:t>
      </w:r>
    </w:p>
    <w:p>
      <w:pPr>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供应商地址：</w:t>
      </w:r>
      <w:r>
        <w:rPr>
          <w:rFonts w:hint="eastAsia" w:ascii="宋体" w:hAnsi="宋体" w:cs="宋体"/>
          <w:color w:val="auto"/>
          <w:sz w:val="24"/>
          <w:highlight w:val="none"/>
          <w:u w:val="single"/>
        </w:rPr>
        <w:t xml:space="preserve">                                            </w:t>
      </w:r>
    </w:p>
    <w:p>
      <w:pPr>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法定代表人姓名：</w:t>
      </w:r>
      <w:r>
        <w:rPr>
          <w:rFonts w:hint="eastAsia" w:ascii="宋体" w:hAnsi="宋体" w:cs="宋体"/>
          <w:color w:val="auto"/>
          <w:sz w:val="24"/>
          <w:highlight w:val="none"/>
          <w:u w:val="single"/>
        </w:rPr>
        <w:t xml:space="preserve">         　　　　     　      </w:t>
      </w:r>
    </w:p>
    <w:p>
      <w:pPr>
        <w:snapToGrid w:val="0"/>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法定代表人身份证号码：</w:t>
      </w:r>
      <w:r>
        <w:rPr>
          <w:rFonts w:hint="eastAsia" w:ascii="宋体" w:hAnsi="宋体" w:cs="宋体"/>
          <w:color w:val="auto"/>
          <w:sz w:val="24"/>
          <w:highlight w:val="none"/>
          <w:u w:val="single"/>
        </w:rPr>
        <w:t xml:space="preserve">              　        </w:t>
      </w:r>
    </w:p>
    <w:p>
      <w:pPr>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授权委托代理人姓名：</w:t>
      </w:r>
      <w:r>
        <w:rPr>
          <w:rFonts w:hint="eastAsia" w:ascii="宋体" w:hAnsi="宋体" w:cs="宋体"/>
          <w:color w:val="auto"/>
          <w:sz w:val="24"/>
          <w:highlight w:val="none"/>
          <w:u w:val="single"/>
        </w:rPr>
        <w:t xml:space="preserve">        　　　　　　　　　　        </w:t>
      </w:r>
    </w:p>
    <w:p>
      <w:pPr>
        <w:snapToGrid w:val="0"/>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授权委托代理人身份证号码：</w:t>
      </w:r>
      <w:r>
        <w:rPr>
          <w:rFonts w:hint="eastAsia" w:ascii="宋体" w:hAnsi="宋体" w:cs="宋体"/>
          <w:color w:val="auto"/>
          <w:sz w:val="24"/>
          <w:highlight w:val="none"/>
          <w:u w:val="single"/>
        </w:rPr>
        <w:t xml:space="preserve">             　               </w:t>
      </w:r>
    </w:p>
    <w:p>
      <w:pPr>
        <w:snapToGrid w:val="0"/>
        <w:spacing w:line="420" w:lineRule="exact"/>
        <w:ind w:firstLine="482" w:firstLineChars="200"/>
        <w:rPr>
          <w:rFonts w:ascii="宋体" w:hAnsi="宋体" w:cs="宋体"/>
          <w:b/>
          <w:color w:val="auto"/>
          <w:sz w:val="24"/>
          <w:highlight w:val="none"/>
        </w:rPr>
      </w:pPr>
      <w:r>
        <w:rPr>
          <w:rFonts w:hint="eastAsia" w:ascii="宋体" w:hAnsi="宋体" w:cs="宋体"/>
          <w:b/>
          <w:color w:val="auto"/>
          <w:sz w:val="24"/>
          <w:highlight w:val="none"/>
        </w:rPr>
        <w:t>8.供应商开票资料：</w:t>
      </w:r>
    </w:p>
    <w:p>
      <w:pPr>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开票信息：（填“专票”或“普票”）</w:t>
      </w:r>
    </w:p>
    <w:p>
      <w:pPr>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供应商名称：</w:t>
      </w:r>
    </w:p>
    <w:p>
      <w:pPr>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纳税人识别号：</w:t>
      </w:r>
      <w:r>
        <w:rPr>
          <w:rFonts w:hint="eastAsia" w:ascii="宋体" w:hAnsi="宋体" w:cs="宋体"/>
          <w:color w:val="auto"/>
          <w:sz w:val="24"/>
          <w:highlight w:val="none"/>
          <w:u w:val="single"/>
        </w:rPr>
        <w:t xml:space="preserve">                               </w:t>
      </w:r>
    </w:p>
    <w:p>
      <w:pPr>
        <w:snapToGrid w:val="0"/>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地址、电话：</w:t>
      </w:r>
      <w:r>
        <w:rPr>
          <w:rFonts w:hint="eastAsia" w:ascii="宋体" w:hAnsi="宋体" w:cs="宋体"/>
          <w:color w:val="auto"/>
          <w:sz w:val="24"/>
          <w:highlight w:val="none"/>
          <w:u w:val="single"/>
        </w:rPr>
        <w:t xml:space="preserve">                                 </w:t>
      </w:r>
    </w:p>
    <w:p>
      <w:pPr>
        <w:pStyle w:val="14"/>
        <w:tabs>
          <w:tab w:val="left" w:pos="939"/>
        </w:tabs>
        <w:spacing w:line="42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开户行及账号：</w:t>
      </w:r>
      <w:r>
        <w:rPr>
          <w:rFonts w:hint="eastAsia" w:ascii="宋体" w:hAnsi="宋体" w:cs="宋体"/>
          <w:color w:val="auto"/>
          <w:sz w:val="24"/>
          <w:highlight w:val="none"/>
          <w:u w:val="single"/>
        </w:rPr>
        <w:t xml:space="preserve">                               </w:t>
      </w:r>
    </w:p>
    <w:p>
      <w:pPr>
        <w:pStyle w:val="14"/>
        <w:tabs>
          <w:tab w:val="left" w:pos="939"/>
        </w:tabs>
        <w:spacing w:line="42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9.以上事项如有虚假或者隐瞒，我方愿意承担一切后果，并不再寻求任何旨在减轻或者免除法律责任的辩解。</w:t>
      </w:r>
    </w:p>
    <w:p>
      <w:pPr>
        <w:pStyle w:val="14"/>
        <w:tabs>
          <w:tab w:val="left" w:pos="939"/>
        </w:tabs>
        <w:spacing w:line="420" w:lineRule="exact"/>
        <w:ind w:left="141" w:leftChars="67" w:firstLine="480" w:firstLineChars="200"/>
        <w:rPr>
          <w:rFonts w:ascii="宋体" w:hAnsi="宋体" w:cs="宋体"/>
          <w:color w:val="auto"/>
          <w:sz w:val="24"/>
          <w:highlight w:val="none"/>
        </w:rPr>
      </w:pPr>
      <w:r>
        <w:rPr>
          <w:rFonts w:hint="eastAsia" w:ascii="宋体" w:hAnsi="宋体" w:cs="宋体"/>
          <w:color w:val="auto"/>
          <w:sz w:val="24"/>
          <w:highlight w:val="none"/>
        </w:rPr>
        <w:t>特此承诺。</w:t>
      </w:r>
    </w:p>
    <w:p>
      <w:pPr>
        <w:pStyle w:val="14"/>
        <w:tabs>
          <w:tab w:val="left" w:pos="939"/>
        </w:tabs>
        <w:spacing w:line="420" w:lineRule="exact"/>
        <w:ind w:left="0" w:leftChars="0" w:firstLine="480" w:firstLineChars="200"/>
        <w:rPr>
          <w:rFonts w:ascii="宋体" w:hAnsi="宋体" w:cs="宋体"/>
          <w:color w:val="auto"/>
          <w:sz w:val="24"/>
          <w:highlight w:val="none"/>
        </w:rPr>
      </w:pPr>
      <w:r>
        <w:rPr>
          <w:rFonts w:hint="eastAsia" w:ascii="宋体" w:hAnsi="宋体" w:cs="宋体"/>
          <w:color w:val="auto"/>
          <w:sz w:val="24"/>
          <w:highlight w:val="none"/>
        </w:rPr>
        <w:t>注：如为联合体竞标，盖章处须加盖联合体各方公章并由联合体各方法定代表人签署，否则其响应文件按无效响应处理。</w:t>
      </w:r>
    </w:p>
    <w:p>
      <w:pPr>
        <w:spacing w:line="420" w:lineRule="exact"/>
        <w:ind w:firstLine="4320" w:firstLineChars="1800"/>
        <w:rPr>
          <w:rFonts w:ascii="宋体" w:hAnsi="宋体" w:cs="宋体"/>
          <w:color w:val="auto"/>
          <w:sz w:val="24"/>
          <w:highlight w:val="none"/>
        </w:rPr>
      </w:pPr>
    </w:p>
    <w:p>
      <w:pPr>
        <w:spacing w:line="420" w:lineRule="exact"/>
        <w:ind w:firstLine="4320" w:firstLineChars="1800"/>
        <w:rPr>
          <w:rFonts w:ascii="宋体" w:hAnsi="宋体" w:cs="宋体"/>
          <w:color w:val="auto"/>
          <w:sz w:val="24"/>
          <w:highlight w:val="none"/>
        </w:rPr>
      </w:pP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法定代表人（签字）：</w:t>
      </w:r>
    </w:p>
    <w:p>
      <w:pPr>
        <w:spacing w:line="42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供应商（盖公章）：</w:t>
      </w:r>
    </w:p>
    <w:p>
      <w:pPr>
        <w:snapToGrid w:val="0"/>
        <w:spacing w:beforeLines="50" w:after="50" w:line="420" w:lineRule="exact"/>
        <w:ind w:right="480" w:firstLine="480" w:firstLineChars="200"/>
        <w:jc w:val="center"/>
        <w:rPr>
          <w:rFonts w:ascii="宋体" w:hAnsi="宋体" w:cs="宋体"/>
          <w:color w:val="auto"/>
          <w:sz w:val="28"/>
          <w:szCs w:val="28"/>
          <w:highlight w:val="none"/>
        </w:rPr>
      </w:pPr>
      <w:r>
        <w:rPr>
          <w:rFonts w:hint="eastAsia" w:ascii="宋体" w:hAnsi="宋体" w:cs="宋体"/>
          <w:color w:val="auto"/>
          <w:sz w:val="24"/>
          <w:highlight w:val="none"/>
        </w:rPr>
        <w:t xml:space="preserve">                                               年    月    日</w:t>
      </w:r>
    </w:p>
    <w:p>
      <w:pPr>
        <w:pStyle w:val="9"/>
        <w:overflowPunct w:val="0"/>
        <w:spacing w:line="360" w:lineRule="auto"/>
        <w:ind w:firstLine="560" w:firstLineChars="200"/>
        <w:rPr>
          <w:rFonts w:ascii="宋体" w:hAnsi="宋体"/>
          <w:b/>
          <w:color w:val="auto"/>
          <w:sz w:val="32"/>
          <w:szCs w:val="32"/>
          <w:highlight w:val="none"/>
        </w:rPr>
      </w:pPr>
      <w:r>
        <w:rPr>
          <w:rFonts w:ascii="宋体" w:hAnsi="宋体"/>
          <w:color w:val="auto"/>
          <w:sz w:val="28"/>
          <w:szCs w:val="28"/>
          <w:highlight w:val="none"/>
        </w:rPr>
        <w:br w:type="page"/>
      </w:r>
      <w:r>
        <w:rPr>
          <w:rFonts w:hint="eastAsia" w:ascii="宋体" w:hAnsi="宋体"/>
          <w:b/>
          <w:bCs/>
          <w:color w:val="auto"/>
          <w:sz w:val="32"/>
          <w:szCs w:val="32"/>
          <w:highlight w:val="none"/>
        </w:rPr>
        <w:t>二、</w:t>
      </w:r>
      <w:r>
        <w:rPr>
          <w:rFonts w:hint="eastAsia" w:ascii="宋体" w:hAnsi="宋体"/>
          <w:b/>
          <w:color w:val="auto"/>
          <w:sz w:val="32"/>
          <w:szCs w:val="32"/>
          <w:highlight w:val="none"/>
        </w:rPr>
        <w:t xml:space="preserve">报价商务技术文件格式 </w:t>
      </w:r>
    </w:p>
    <w:p>
      <w:pPr>
        <w:snapToGrid w:val="0"/>
        <w:spacing w:beforeLines="50" w:after="50" w:line="360" w:lineRule="auto"/>
        <w:ind w:firstLine="643" w:firstLineChars="200"/>
        <w:jc w:val="left"/>
        <w:rPr>
          <w:rFonts w:ascii="宋体" w:hAnsi="宋体"/>
          <w:b/>
          <w:color w:val="auto"/>
          <w:sz w:val="32"/>
          <w:szCs w:val="32"/>
          <w:highlight w:val="none"/>
        </w:rPr>
      </w:pPr>
      <w:r>
        <w:rPr>
          <w:rFonts w:hint="eastAsia" w:ascii="宋体" w:hAnsi="宋体"/>
          <w:b/>
          <w:color w:val="auto"/>
          <w:sz w:val="32"/>
          <w:szCs w:val="32"/>
          <w:highlight w:val="none"/>
        </w:rPr>
        <w:t>1.报价商务技术文件封面格式</w:t>
      </w:r>
    </w:p>
    <w:p>
      <w:pPr>
        <w:snapToGrid w:val="0"/>
        <w:spacing w:beforeLines="50" w:after="50"/>
        <w:ind w:firstLine="420" w:firstLineChars="200"/>
        <w:rPr>
          <w:rFonts w:ascii="宋体" w:hAnsi="宋体"/>
          <w:bCs/>
          <w:color w:val="auto"/>
          <w:sz w:val="32"/>
          <w:szCs w:val="20"/>
          <w:highlight w:val="none"/>
        </w:rPr>
      </w:pPr>
      <w:r>
        <w:rPr>
          <w:rFonts w:hint="eastAsia" w:ascii="宋体" w:hAnsi="宋体"/>
          <w:bCs/>
          <w:color w:val="auto"/>
          <w:highlight w:val="none"/>
        </w:rPr>
        <w:t>正本/副本</w:t>
      </w:r>
    </w:p>
    <w:p>
      <w:pPr>
        <w:snapToGrid w:val="0"/>
        <w:spacing w:beforeLines="50" w:after="50"/>
        <w:rPr>
          <w:rFonts w:ascii="宋体" w:hAnsi="宋体"/>
          <w:color w:val="auto"/>
          <w:sz w:val="24"/>
          <w:szCs w:val="20"/>
          <w:highlight w:val="none"/>
        </w:rPr>
      </w:pPr>
    </w:p>
    <w:p>
      <w:pPr>
        <w:snapToGrid w:val="0"/>
        <w:spacing w:beforeLines="50" w:after="50"/>
        <w:rPr>
          <w:rFonts w:ascii="宋体" w:hAnsi="宋体"/>
          <w:color w:val="auto"/>
          <w:sz w:val="24"/>
          <w:szCs w:val="20"/>
          <w:highlight w:val="none"/>
        </w:rPr>
      </w:pPr>
    </w:p>
    <w:p>
      <w:pPr>
        <w:snapToGrid w:val="0"/>
        <w:spacing w:beforeLines="50" w:after="50"/>
        <w:rPr>
          <w:rFonts w:ascii="宋体" w:hAnsi="宋体"/>
          <w:color w:val="auto"/>
          <w:sz w:val="24"/>
          <w:szCs w:val="20"/>
          <w:highlight w:val="none"/>
        </w:rPr>
      </w:pPr>
    </w:p>
    <w:p>
      <w:pPr>
        <w:snapToGrid w:val="0"/>
        <w:spacing w:beforeLines="50" w:after="50"/>
        <w:ind w:firstLine="880" w:firstLineChars="200"/>
        <w:jc w:val="center"/>
        <w:rPr>
          <w:rFonts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报  价  商  务  技  术  文  件</w:t>
      </w: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rPr>
          <w:rFonts w:ascii="宋体" w:hAnsi="宋体"/>
          <w:bCs/>
          <w:color w:val="auto"/>
          <w:sz w:val="24"/>
          <w:szCs w:val="20"/>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项目名称：</w:t>
      </w:r>
    </w:p>
    <w:p>
      <w:pPr>
        <w:snapToGrid w:val="0"/>
        <w:spacing w:beforeLines="50" w:after="50"/>
        <w:ind w:firstLine="720" w:firstLineChars="225"/>
        <w:rPr>
          <w:rFonts w:ascii="仿宋_GB2312" w:hAnsi="仿宋_GB2312" w:eastAsia="仿宋_GB2312" w:cs="仿宋_GB2312"/>
          <w:bCs/>
          <w:color w:val="auto"/>
          <w:sz w:val="32"/>
          <w:szCs w:val="32"/>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项目编号：</w:t>
      </w:r>
    </w:p>
    <w:p>
      <w:pPr>
        <w:snapToGrid w:val="0"/>
        <w:spacing w:beforeLines="50" w:after="50"/>
        <w:ind w:firstLine="720" w:firstLineChars="225"/>
        <w:rPr>
          <w:rFonts w:ascii="仿宋_GB2312" w:hAnsi="仿宋_GB2312" w:eastAsia="仿宋_GB2312" w:cs="仿宋_GB2312"/>
          <w:bCs/>
          <w:color w:val="auto"/>
          <w:sz w:val="32"/>
          <w:szCs w:val="32"/>
          <w:highlight w:val="none"/>
        </w:rPr>
      </w:pPr>
    </w:p>
    <w:p>
      <w:pPr>
        <w:snapToGrid w:val="0"/>
        <w:spacing w:beforeLines="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所竞分标（如有则填写，无分标时填写“无”或者留空）：</w:t>
      </w:r>
    </w:p>
    <w:p>
      <w:pPr>
        <w:snapToGrid w:val="0"/>
        <w:spacing w:beforeLines="50" w:after="50"/>
        <w:ind w:firstLine="720" w:firstLineChars="225"/>
        <w:rPr>
          <w:rFonts w:ascii="仿宋_GB2312" w:hAnsi="仿宋_GB2312" w:eastAsia="仿宋_GB2312" w:cs="仿宋_GB2312"/>
          <w:bCs/>
          <w:color w:val="auto"/>
          <w:sz w:val="32"/>
          <w:szCs w:val="32"/>
          <w:highlight w:val="none"/>
        </w:rPr>
      </w:pPr>
    </w:p>
    <w:p>
      <w:pPr>
        <w:pStyle w:val="9"/>
        <w:snapToGrid w:val="0"/>
        <w:spacing w:before="50" w:after="50"/>
        <w:ind w:firstLine="640" w:firstLineChars="200"/>
        <w:rPr>
          <w:rFonts w:ascii="仿宋_GB2312" w:hAnsi="仿宋_GB2312" w:eastAsia="仿宋_GB2312" w:cs="仿宋_GB2312"/>
          <w:bCs/>
          <w:color w:val="auto"/>
          <w:sz w:val="32"/>
          <w:szCs w:val="32"/>
          <w:highlight w:val="none"/>
        </w:rPr>
      </w:pPr>
      <w:r>
        <w:rPr>
          <w:rFonts w:hint="eastAsia" w:ascii="仿宋_GB2312" w:hAnsi="仿宋_GB2312" w:eastAsia="仿宋_GB2312" w:cs="仿宋_GB2312"/>
          <w:bCs/>
          <w:color w:val="auto"/>
          <w:sz w:val="32"/>
          <w:szCs w:val="32"/>
          <w:highlight w:val="none"/>
        </w:rPr>
        <w:t>供应商名称：</w:t>
      </w:r>
    </w:p>
    <w:p>
      <w:pPr>
        <w:pStyle w:val="9"/>
        <w:snapToGrid w:val="0"/>
        <w:spacing w:before="50" w:after="50"/>
        <w:ind w:firstLine="720" w:firstLineChars="225"/>
        <w:rPr>
          <w:rFonts w:ascii="仿宋_GB2312" w:hAnsi="仿宋_GB2312" w:eastAsia="仿宋_GB2312" w:cs="仿宋_GB2312"/>
          <w:bCs/>
          <w:color w:val="auto"/>
          <w:sz w:val="32"/>
          <w:szCs w:val="32"/>
          <w:highlight w:val="none"/>
        </w:rPr>
      </w:pPr>
    </w:p>
    <w:p>
      <w:pPr>
        <w:pStyle w:val="9"/>
        <w:snapToGrid w:val="0"/>
        <w:spacing w:before="50" w:after="50"/>
        <w:ind w:firstLine="720" w:firstLineChars="225"/>
        <w:rPr>
          <w:rFonts w:ascii="仿宋_GB2312" w:hAnsi="仿宋_GB2312" w:eastAsia="仿宋_GB2312" w:cs="仿宋_GB2312"/>
          <w:bCs/>
          <w:color w:val="auto"/>
          <w:sz w:val="32"/>
          <w:szCs w:val="32"/>
          <w:highlight w:val="none"/>
        </w:rPr>
      </w:pPr>
    </w:p>
    <w:p>
      <w:pPr>
        <w:pStyle w:val="9"/>
        <w:snapToGrid w:val="0"/>
        <w:spacing w:before="50" w:after="50"/>
        <w:ind w:firstLine="1280" w:firstLineChars="400"/>
        <w:rPr>
          <w:rFonts w:ascii="仿宋_GB2312" w:hAnsi="仿宋_GB2312" w:eastAsia="仿宋_GB2312" w:cs="仿宋_GB2312"/>
          <w:bCs/>
          <w:color w:val="auto"/>
          <w:sz w:val="32"/>
          <w:szCs w:val="32"/>
          <w:highlight w:val="none"/>
        </w:rPr>
      </w:pPr>
    </w:p>
    <w:p>
      <w:pPr>
        <w:snapToGrid w:val="0"/>
        <w:spacing w:beforeLines="50" w:after="50"/>
        <w:ind w:firstLine="640" w:firstLineChars="200"/>
        <w:jc w:val="center"/>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年    月    日</w:t>
      </w:r>
    </w:p>
    <w:p>
      <w:pPr>
        <w:snapToGrid w:val="0"/>
        <w:spacing w:beforeLines="50" w:after="50" w:line="360" w:lineRule="auto"/>
        <w:ind w:left="142" w:firstLine="480" w:firstLineChars="200"/>
        <w:jc w:val="left"/>
        <w:rPr>
          <w:rFonts w:ascii="宋体" w:hAnsi="宋体"/>
          <w:b/>
          <w:bCs/>
          <w:color w:val="auto"/>
          <w:sz w:val="24"/>
          <w:highlight w:val="none"/>
        </w:rPr>
      </w:pPr>
      <w:r>
        <w:rPr>
          <w:rFonts w:ascii="宋体" w:hAnsi="宋体"/>
          <w:color w:val="auto"/>
          <w:sz w:val="24"/>
          <w:highlight w:val="none"/>
        </w:rPr>
        <w:br w:type="page"/>
      </w:r>
      <w:r>
        <w:rPr>
          <w:rFonts w:hint="eastAsia" w:ascii="宋体" w:hAnsi="宋体"/>
          <w:b/>
          <w:bCs/>
          <w:color w:val="auto"/>
          <w:sz w:val="32"/>
          <w:szCs w:val="32"/>
          <w:highlight w:val="none"/>
        </w:rPr>
        <w:t>2.报价商务技术文件目录</w:t>
      </w:r>
    </w:p>
    <w:p>
      <w:pPr>
        <w:snapToGrid w:val="0"/>
        <w:spacing w:beforeLines="50" w:after="50" w:line="360" w:lineRule="auto"/>
        <w:ind w:firstLine="640" w:firstLineChars="200"/>
        <w:rPr>
          <w:rFonts w:ascii="宋体" w:hAnsi="宋体"/>
          <w:color w:val="auto"/>
          <w:sz w:val="32"/>
          <w:szCs w:val="32"/>
          <w:highlight w:val="none"/>
        </w:rPr>
      </w:pPr>
      <w:r>
        <w:rPr>
          <w:rFonts w:hint="eastAsia" w:ascii="宋体" w:hAnsi="宋体"/>
          <w:color w:val="auto"/>
          <w:sz w:val="32"/>
          <w:szCs w:val="32"/>
          <w:highlight w:val="none"/>
        </w:rPr>
        <w:t>根据磋商文件规定及供应商提供的材料自行编写目录（部分格式后附）。</w:t>
      </w:r>
    </w:p>
    <w:p>
      <w:pPr>
        <w:spacing w:line="400" w:lineRule="exact"/>
        <w:rPr>
          <w:rFonts w:ascii="仿宋_GB2312" w:hAnsi="仿宋_GB2312" w:eastAsia="仿宋_GB2312" w:cs="仿宋_GB2312"/>
          <w:color w:val="auto"/>
          <w:sz w:val="32"/>
          <w:szCs w:val="32"/>
          <w:highlight w:val="none"/>
        </w:rPr>
      </w:pPr>
    </w:p>
    <w:p>
      <w:pPr>
        <w:spacing w:line="520" w:lineRule="exact"/>
        <w:ind w:firstLine="880" w:firstLineChars="200"/>
        <w:jc w:val="center"/>
        <w:rPr>
          <w:rFonts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color w:val="auto"/>
          <w:sz w:val="44"/>
          <w:szCs w:val="44"/>
          <w:highlight w:val="none"/>
        </w:rPr>
        <w:br w:type="page"/>
      </w:r>
      <w:r>
        <w:rPr>
          <w:rFonts w:hint="eastAsia" w:ascii="方正小标宋简体" w:hAnsi="方正小标宋简体" w:eastAsia="方正小标宋简体" w:cs="方正小标宋简体"/>
          <w:color w:val="auto"/>
          <w:sz w:val="44"/>
          <w:szCs w:val="44"/>
          <w:highlight w:val="none"/>
        </w:rPr>
        <w:t>无串通竞标行为的承诺函</w:t>
      </w:r>
    </w:p>
    <w:p>
      <w:pPr>
        <w:spacing w:line="400" w:lineRule="exact"/>
        <w:ind w:firstLine="640" w:firstLineChars="200"/>
        <w:rPr>
          <w:rFonts w:ascii="仿宋_GB2312" w:hAnsi="仿宋_GB2312" w:eastAsia="仿宋_GB2312" w:cs="仿宋_GB2312"/>
          <w:color w:val="auto"/>
          <w:sz w:val="32"/>
          <w:szCs w:val="32"/>
          <w:highlight w:val="none"/>
        </w:rPr>
      </w:pPr>
    </w:p>
    <w:p>
      <w:pPr>
        <w:spacing w:line="360" w:lineRule="auto"/>
        <w:ind w:firstLine="482" w:firstLineChars="200"/>
        <w:rPr>
          <w:rFonts w:ascii="宋体" w:hAnsi="宋体" w:cs="仿宋_GB2312"/>
          <w:b/>
          <w:bCs/>
          <w:color w:val="auto"/>
          <w:sz w:val="24"/>
          <w:highlight w:val="none"/>
        </w:rPr>
      </w:pPr>
      <w:r>
        <w:rPr>
          <w:rFonts w:hint="eastAsia" w:ascii="宋体" w:hAnsi="宋体" w:cs="仿宋_GB2312"/>
          <w:b/>
          <w:bCs/>
          <w:color w:val="auto"/>
          <w:sz w:val="24"/>
          <w:highlight w:val="none"/>
        </w:rPr>
        <w:t>一、我方承诺无下列相互串通竞标的情形：</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1.不同供应商的响应文件由同一单位或者个人编制；或者不同供应商报名的IP地址一致的；</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2.不同供应商委托同一单位或者个人办理竞标事宜；</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3.不同供应商的响应文件载明的项目管理员或者联系人员为同一个人；</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4.不</w:t>
      </w:r>
      <w:r>
        <w:rPr>
          <w:rFonts w:hint="eastAsia" w:ascii="宋体" w:hAnsi="宋体" w:cs="仿宋_GB2312"/>
          <w:color w:val="auto"/>
          <w:spacing w:val="-6"/>
          <w:sz w:val="24"/>
          <w:highlight w:val="none"/>
        </w:rPr>
        <w:t>同供应商的响应文件异常一致或者竞标报价呈规律性差异；</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5.不同供应商的响应文件相互混装；</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6.不同供应商的磋商保证金从同一单位或者个人账户转出。</w:t>
      </w:r>
    </w:p>
    <w:p>
      <w:pPr>
        <w:spacing w:line="360" w:lineRule="auto"/>
        <w:ind w:firstLine="482" w:firstLineChars="200"/>
        <w:rPr>
          <w:rFonts w:ascii="宋体" w:hAnsi="宋体" w:cs="仿宋_GB2312"/>
          <w:b/>
          <w:bCs/>
          <w:color w:val="auto"/>
          <w:sz w:val="24"/>
          <w:highlight w:val="none"/>
        </w:rPr>
      </w:pPr>
      <w:r>
        <w:rPr>
          <w:rFonts w:hint="eastAsia" w:ascii="宋体" w:hAnsi="宋体" w:cs="仿宋_GB2312"/>
          <w:b/>
          <w:bCs/>
          <w:color w:val="auto"/>
          <w:sz w:val="24"/>
          <w:highlight w:val="none"/>
        </w:rPr>
        <w:t>二、我方承诺无下列恶意串通的情形：</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1.供应商直接或者间接从采购人或者采购代理机构处获得其他供应商的相关信息并修改其响应文件；</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2.供应商按照采购人或者采购代理机构的授意撤换、修改响应文件；</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3.供</w:t>
      </w:r>
      <w:r>
        <w:rPr>
          <w:rFonts w:hint="eastAsia" w:ascii="宋体" w:hAnsi="宋体" w:cs="仿宋_GB2312"/>
          <w:color w:val="auto"/>
          <w:spacing w:val="-6"/>
          <w:sz w:val="24"/>
          <w:highlight w:val="none"/>
        </w:rPr>
        <w:t>应商之间协商报价、技术方案等响应文件的实质性内容；</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4.属于同一集团、协会、商会等组织成员的供应商按照该组织要求协同参加政府采购活动；</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5.供应商之间事先约定一致抬高或者压低竞标报价，或者在竞争性磋商项目中事先约定轮流以高价位或者低价位成交，或者事先约定由某一特定供应商成交，然后再参加竞标；</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6.供应商之间商定部分供应商放弃参加政府采购活动或者放弃成交；</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7.供应商与采购人或者采购代理机构之间、供应商相互之间，为</w:t>
      </w:r>
      <w:r>
        <w:rPr>
          <w:rFonts w:hint="eastAsia" w:ascii="宋体" w:hAnsi="宋体" w:cs="仿宋_GB2312"/>
          <w:color w:val="auto"/>
          <w:spacing w:val="-6"/>
          <w:sz w:val="24"/>
          <w:highlight w:val="none"/>
        </w:rPr>
        <w:t>谋求特定供应商成交或者排斥其他供应商的其他串通行为。</w:t>
      </w:r>
    </w:p>
    <w:p>
      <w:pPr>
        <w:spacing w:line="360" w:lineRule="auto"/>
        <w:ind w:firstLine="480" w:firstLineChars="200"/>
        <w:rPr>
          <w:rFonts w:ascii="宋体" w:hAnsi="宋体" w:cs="仿宋_GB2312"/>
          <w:color w:val="auto"/>
          <w:sz w:val="24"/>
          <w:highlight w:val="none"/>
        </w:rPr>
      </w:pPr>
    </w:p>
    <w:p>
      <w:pPr>
        <w:spacing w:line="360" w:lineRule="auto"/>
        <w:ind w:firstLine="482" w:firstLineChars="200"/>
        <w:rPr>
          <w:rFonts w:ascii="宋体" w:hAnsi="宋体" w:cs="仿宋_GB2312"/>
          <w:b/>
          <w:bCs/>
          <w:color w:val="auto"/>
          <w:sz w:val="24"/>
          <w:highlight w:val="none"/>
        </w:rPr>
      </w:pPr>
      <w:r>
        <w:rPr>
          <w:rFonts w:hint="eastAsia" w:ascii="宋体" w:hAnsi="宋体" w:cs="仿宋_GB2312"/>
          <w:b/>
          <w:bCs/>
          <w:color w:val="auto"/>
          <w:sz w:val="24"/>
          <w:highlight w:val="none"/>
        </w:rPr>
        <w:t>以上情形一经核查属实，我方愿意承担一切后果，并不再寻求任何旨在减轻或者免除法律责任的辩解。</w:t>
      </w:r>
    </w:p>
    <w:p>
      <w:pPr>
        <w:spacing w:line="360" w:lineRule="auto"/>
        <w:rPr>
          <w:rFonts w:ascii="宋体" w:hAnsi="宋体" w:cs="仿宋_GB2312"/>
          <w:color w:val="auto"/>
          <w:sz w:val="24"/>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供应商（盖公章）：</w:t>
      </w:r>
    </w:p>
    <w:p>
      <w:pPr>
        <w:spacing w:line="360" w:lineRule="auto"/>
        <w:ind w:firstLine="480" w:firstLineChars="200"/>
        <w:jc w:val="center"/>
        <w:rPr>
          <w:rFonts w:ascii="仿宋_GB2312" w:hAnsi="仿宋_GB2312" w:eastAsia="仿宋_GB2312" w:cs="仿宋_GB2312"/>
          <w:color w:val="auto"/>
          <w:sz w:val="32"/>
          <w:szCs w:val="32"/>
          <w:highlight w:val="none"/>
        </w:rPr>
      </w:pPr>
      <w:r>
        <w:rPr>
          <w:rFonts w:hint="eastAsia" w:ascii="宋体" w:hAnsi="宋体" w:cs="仿宋_GB2312"/>
          <w:color w:val="auto"/>
          <w:sz w:val="24"/>
          <w:highlight w:val="none"/>
        </w:rPr>
        <w:t xml:space="preserve">                               年   月   日</w:t>
      </w:r>
    </w:p>
    <w:p>
      <w:pPr>
        <w:spacing w:line="520" w:lineRule="exact"/>
        <w:ind w:firstLine="880" w:firstLineChars="200"/>
        <w:jc w:val="center"/>
        <w:rPr>
          <w:rFonts w:ascii="方正小标宋简体" w:hAnsi="方正小标宋简体" w:eastAsia="方正小标宋简体" w:cs="方正小标宋简体"/>
          <w:bCs/>
          <w:color w:val="auto"/>
          <w:sz w:val="32"/>
          <w:szCs w:val="32"/>
          <w:highlight w:val="none"/>
        </w:rPr>
      </w:pPr>
      <w:r>
        <w:rPr>
          <w:rFonts w:hint="eastAsia" w:ascii="方正小标宋简体" w:hAnsi="方正小标宋简体" w:eastAsia="方正小标宋简体" w:cs="方正小标宋简体"/>
          <w:bCs/>
          <w:color w:val="auto"/>
          <w:sz w:val="44"/>
          <w:szCs w:val="44"/>
          <w:highlight w:val="none"/>
        </w:rPr>
        <w:br w:type="page"/>
      </w:r>
      <w:r>
        <w:rPr>
          <w:rFonts w:hint="eastAsia" w:ascii="方正小标宋简体" w:hAnsi="方正小标宋简体" w:eastAsia="方正小标宋简体" w:cs="方正小标宋简体"/>
          <w:bCs/>
          <w:color w:val="auto"/>
          <w:sz w:val="44"/>
          <w:szCs w:val="44"/>
          <w:highlight w:val="none"/>
        </w:rPr>
        <w:t>竞  标  报  价  表</w:t>
      </w:r>
    </w:p>
    <w:p>
      <w:pPr>
        <w:spacing w:line="440" w:lineRule="exact"/>
        <w:jc w:val="center"/>
        <w:rPr>
          <w:rFonts w:ascii="方正小标宋简体" w:hAnsi="方正小标宋简体" w:eastAsia="方正小标宋简体" w:cs="方正小标宋简体"/>
          <w:bCs/>
          <w:color w:val="auto"/>
          <w:sz w:val="32"/>
          <w:szCs w:val="32"/>
          <w:highlight w:val="none"/>
        </w:rPr>
      </w:pPr>
    </w:p>
    <w:p>
      <w:pPr>
        <w:snapToGrid w:val="0"/>
        <w:spacing w:before="50" w:after="50" w:line="360" w:lineRule="auto"/>
        <w:ind w:firstLine="480" w:firstLineChars="200"/>
        <w:rPr>
          <w:rFonts w:hint="eastAsia" w:ascii="宋体" w:hAnsi="宋体" w:cs="仿宋_GB2312"/>
          <w:color w:val="auto"/>
          <w:sz w:val="24"/>
          <w:highlight w:val="none"/>
        </w:rPr>
      </w:pPr>
      <w:r>
        <w:rPr>
          <w:rFonts w:hint="eastAsia" w:ascii="宋体" w:hAnsi="宋体" w:cs="仿宋_GB2312"/>
          <w:color w:val="auto"/>
          <w:sz w:val="24"/>
          <w:highlight w:val="none"/>
        </w:rPr>
        <w:t>项目名称：</w:t>
      </w:r>
    </w:p>
    <w:p>
      <w:pPr>
        <w:snapToGrid w:val="0"/>
        <w:spacing w:before="50" w:after="50"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项目编号：</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260"/>
        <w:gridCol w:w="2064"/>
        <w:gridCol w:w="1080"/>
        <w:gridCol w:w="1260"/>
        <w:gridCol w:w="1516"/>
        <w:gridCol w:w="957"/>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r>
              <w:rPr>
                <w:rFonts w:hint="eastAsia" w:ascii="宋体" w:hAnsi="宋体" w:eastAsia="宋体" w:cs="宋体"/>
                <w:color w:val="auto"/>
                <w:szCs w:val="22"/>
                <w:highlight w:val="none"/>
              </w:rPr>
              <w:t>序号</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r>
              <w:rPr>
                <w:rFonts w:hint="eastAsia" w:ascii="宋体" w:hAnsi="宋体" w:eastAsia="宋体" w:cs="宋体"/>
                <w:color w:val="auto"/>
                <w:szCs w:val="22"/>
                <w:highlight w:val="none"/>
                <w:lang w:eastAsia="zh-CN"/>
              </w:rPr>
              <w:t>标的</w:t>
            </w:r>
            <w:r>
              <w:rPr>
                <w:rFonts w:hint="eastAsia" w:ascii="宋体" w:hAnsi="宋体" w:eastAsia="宋体" w:cs="宋体"/>
                <w:color w:val="auto"/>
                <w:szCs w:val="22"/>
                <w:highlight w:val="none"/>
              </w:rPr>
              <w:t>名称</w:t>
            </w:r>
          </w:p>
        </w:tc>
        <w:tc>
          <w:tcPr>
            <w:tcW w:w="206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rPr>
              <w:t>具体服务内容</w:t>
            </w:r>
            <w:r>
              <w:rPr>
                <w:rFonts w:hint="eastAsia" w:ascii="宋体" w:hAnsi="宋体" w:eastAsia="宋体" w:cs="宋体"/>
                <w:color w:val="auto"/>
                <w:szCs w:val="22"/>
                <w:highlight w:val="none"/>
                <w:lang w:eastAsia="zh-CN"/>
              </w:rPr>
              <w:t>（具体服务范围、服务时间、服务标准）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数量</w:t>
            </w:r>
            <w:r>
              <w:rPr>
                <w:rFonts w:hint="eastAsia" w:ascii="宋体" w:hAnsi="宋体" w:eastAsia="宋体" w:cs="宋体"/>
                <w:color w:val="auto"/>
                <w:szCs w:val="22"/>
                <w:highlight w:val="none"/>
                <w:lang w:eastAsia="zh-CN"/>
              </w:rPr>
              <w:t>及</w:t>
            </w:r>
            <w:r>
              <w:rPr>
                <w:rFonts w:hint="eastAsia" w:ascii="宋体" w:hAnsi="宋体" w:eastAsia="宋体" w:cs="宋体"/>
                <w:color w:val="auto"/>
                <w:szCs w:val="22"/>
                <w:highlight w:val="none"/>
                <w:lang w:val="en-US" w:eastAsia="zh-CN"/>
              </w:rPr>
              <w:t xml:space="preserve"> 单位</w:t>
            </w:r>
            <w:r>
              <w:rPr>
                <w:rFonts w:hint="eastAsia" w:ascii="宋体" w:hAnsi="宋体" w:eastAsia="宋体" w:cs="宋体"/>
                <w:color w:val="auto"/>
                <w:szCs w:val="22"/>
                <w:highlight w:val="none"/>
              </w:rPr>
              <w:t>①</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单价(元)②</w:t>
            </w: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r>
              <w:rPr>
                <w:rFonts w:hint="eastAsia" w:ascii="宋体" w:hAnsi="宋体" w:eastAsia="宋体" w:cs="宋体"/>
                <w:color w:val="auto"/>
                <w:szCs w:val="22"/>
                <w:highlight w:val="none"/>
              </w:rPr>
              <w:t>单项合价（元）</w:t>
            </w:r>
          </w:p>
          <w:p>
            <w:pPr>
              <w:rPr>
                <w:rFonts w:hint="eastAsia" w:ascii="宋体" w:hAnsi="宋体" w:eastAsia="宋体" w:cs="宋体"/>
                <w:color w:val="auto"/>
                <w:szCs w:val="22"/>
                <w:highlight w:val="none"/>
              </w:rPr>
            </w:pPr>
            <w:r>
              <w:rPr>
                <w:rFonts w:hint="eastAsia" w:ascii="宋体" w:hAnsi="宋体" w:eastAsia="宋体" w:cs="宋体"/>
                <w:color w:val="auto"/>
                <w:szCs w:val="22"/>
                <w:highlight w:val="none"/>
              </w:rPr>
              <w:t>③＝①×②</w:t>
            </w:r>
          </w:p>
        </w:tc>
        <w:tc>
          <w:tcPr>
            <w:tcW w:w="95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color w:val="auto"/>
                <w:szCs w:val="22"/>
                <w:highlight w:val="none"/>
                <w:lang w:eastAsia="zh-CN"/>
              </w:rPr>
            </w:pPr>
            <w:r>
              <w:rPr>
                <w:rFonts w:hint="eastAsia" w:ascii="宋体" w:hAnsi="宋体" w:eastAsia="宋体" w:cs="宋体"/>
                <w:color w:val="auto"/>
                <w:szCs w:val="22"/>
                <w:highlight w:val="none"/>
                <w:lang w:eastAsia="zh-CN"/>
              </w:rPr>
              <w:t>服务期限</w:t>
            </w:r>
          </w:p>
        </w:tc>
        <w:tc>
          <w:tcPr>
            <w:tcW w:w="9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1</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2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2</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2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206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15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s="宋体"/>
                <w:color w:val="auto"/>
                <w:szCs w:val="22"/>
                <w:highlight w:val="none"/>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r>
              <w:rPr>
                <w:rFonts w:hint="eastAsia" w:ascii="宋体" w:hAnsi="宋体" w:eastAsia="宋体" w:cs="宋体"/>
                <w:color w:val="auto"/>
                <w:kern w:val="0"/>
                <w:sz w:val="20"/>
                <w:szCs w:val="21"/>
                <w:highlight w:val="none"/>
              </w:rPr>
              <w:t>竞标总报价</w:t>
            </w:r>
            <w:r>
              <w:rPr>
                <w:rFonts w:hint="eastAsia" w:ascii="宋体" w:hAnsi="宋体" w:eastAsia="宋体" w:cs="宋体"/>
                <w:color w:val="auto"/>
                <w:szCs w:val="22"/>
                <w:highlight w:val="none"/>
              </w:rPr>
              <w:t>（包含税费等所有费用）：</w:t>
            </w:r>
            <w:r>
              <w:rPr>
                <w:rFonts w:hint="eastAsia" w:ascii="宋体" w:hAnsi="宋体" w:eastAsia="宋体" w:cs="宋体"/>
                <w:color w:val="auto"/>
                <w:szCs w:val="22"/>
                <w:highlight w:val="none"/>
                <w:u w:val="single"/>
              </w:rPr>
              <w:t>（大写）人民币       （</w:t>
            </w:r>
            <w:r>
              <w:rPr>
                <w:rFonts w:hint="eastAsia" w:ascii="宋体" w:hAnsi="宋体" w:eastAsia="宋体" w:cs="宋体"/>
                <w:color w:val="auto"/>
                <w:szCs w:val="22"/>
                <w:highlight w:val="none"/>
                <w:u w:val="single"/>
                <w:lang w:eastAsia="zh-CN"/>
              </w:rPr>
              <w:t>小写</w:t>
            </w:r>
            <w:r>
              <w:rPr>
                <w:rFonts w:hint="eastAsia" w:ascii="宋体" w:hAnsi="宋体" w:eastAsia="宋体" w:cs="宋体"/>
                <w:color w:val="auto"/>
                <w:szCs w:val="22"/>
                <w:highlight w:val="none"/>
                <w:u w:val="single"/>
              </w:rPr>
              <w:t>）</w:t>
            </w:r>
            <w:r>
              <w:rPr>
                <w:rFonts w:hint="eastAsia" w:ascii="宋体" w:hAnsi="宋体" w:eastAsia="宋体" w:cs="宋体"/>
                <w:color w:val="auto"/>
                <w:szCs w:val="22"/>
                <w:highlight w:val="none"/>
                <w:u w:val="single"/>
                <w:lang w:eastAsia="zh-CN"/>
              </w:rPr>
              <w:t>¥</w:t>
            </w:r>
            <w:r>
              <w:rPr>
                <w:rFonts w:hint="eastAsia" w:ascii="宋体" w:hAnsi="宋体" w:eastAsia="宋体" w:cs="宋体"/>
                <w:color w:val="auto"/>
                <w:szCs w:val="22"/>
                <w:highlight w:val="none"/>
                <w:u w:val="single"/>
              </w:rPr>
              <w:t xml:space="preserve"> </w:t>
            </w:r>
            <w:r>
              <w:rPr>
                <w:rFonts w:hint="eastAsia" w:ascii="宋体" w:hAnsi="宋体" w:eastAsia="宋体" w:cs="宋体"/>
                <w:color w:val="auto"/>
                <w:szCs w:val="22"/>
                <w:highlight w:val="none"/>
                <w:u w:val="single"/>
                <w:lang w:val="en-US" w:eastAsia="zh-CN"/>
              </w:rPr>
              <w:t xml:space="preserve">      </w:t>
            </w:r>
            <w:r>
              <w:rPr>
                <w:rFonts w:hint="eastAsia" w:ascii="宋体" w:hAnsi="宋体" w:eastAsia="宋体" w:cs="宋体"/>
                <w:color w:val="auto"/>
                <w:szCs w:val="22"/>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trPr>
        <w:tc>
          <w:tcPr>
            <w:tcW w:w="981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szCs w:val="22"/>
                <w:highlight w:val="none"/>
              </w:rPr>
            </w:pPr>
            <w:r>
              <w:rPr>
                <w:rFonts w:hint="eastAsia" w:ascii="宋体" w:hAnsi="宋体" w:eastAsia="宋体" w:cs="宋体"/>
                <w:color w:val="auto"/>
                <w:szCs w:val="22"/>
                <w:highlight w:val="none"/>
              </w:rPr>
              <w:t>优惠及其它：</w:t>
            </w:r>
            <w:r>
              <w:rPr>
                <w:rFonts w:hint="eastAsia" w:ascii="宋体" w:hAnsi="宋体" w:eastAsia="宋体" w:cs="宋体"/>
                <w:i/>
                <w:iCs/>
                <w:color w:val="auto"/>
                <w:highlight w:val="none"/>
                <w:lang w:eastAsia="zh-CN"/>
              </w:rPr>
              <w:t>（如没有填写无）</w:t>
            </w:r>
          </w:p>
        </w:tc>
      </w:tr>
    </w:tbl>
    <w:p>
      <w:pPr>
        <w:snapToGrid w:val="0"/>
        <w:spacing w:before="50" w:after="50" w:line="36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 xml:space="preserve">注： </w:t>
      </w:r>
    </w:p>
    <w:p>
      <w:pPr>
        <w:snapToGrid w:val="0"/>
        <w:spacing w:before="50" w:after="50" w:line="36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zh-CN"/>
        </w:rPr>
        <w:t>1、供应商需按本表格式填写，不得自行更改，也不得留空（</w:t>
      </w:r>
      <w:r>
        <w:rPr>
          <w:rFonts w:hint="eastAsia" w:ascii="宋体" w:hAnsi="宋体" w:eastAsia="宋体" w:cs="宋体"/>
          <w:color w:val="auto"/>
          <w:sz w:val="21"/>
          <w:szCs w:val="21"/>
          <w:highlight w:val="none"/>
        </w:rPr>
        <w:t>备注</w:t>
      </w:r>
      <w:r>
        <w:rPr>
          <w:rFonts w:hint="eastAsia" w:ascii="宋体" w:hAnsi="宋体" w:eastAsia="宋体" w:cs="宋体"/>
          <w:color w:val="auto"/>
          <w:sz w:val="21"/>
          <w:szCs w:val="21"/>
          <w:highlight w:val="none"/>
          <w:lang w:eastAsia="zh-CN"/>
        </w:rPr>
        <w:t>除外</w:t>
      </w:r>
      <w:r>
        <w:rPr>
          <w:rFonts w:hint="eastAsia" w:ascii="宋体" w:hAnsi="宋体" w:eastAsia="宋体" w:cs="宋体"/>
          <w:color w:val="auto"/>
          <w:kern w:val="0"/>
          <w:sz w:val="21"/>
          <w:szCs w:val="21"/>
          <w:highlight w:val="none"/>
          <w:lang w:val="zh-CN"/>
        </w:rPr>
        <w:t>）, 如有多分标，按分标分别提供响应报价表，</w:t>
      </w:r>
      <w:r>
        <w:rPr>
          <w:rFonts w:hint="eastAsia" w:ascii="宋体" w:hAnsi="宋体" w:eastAsia="宋体" w:cs="宋体"/>
          <w:b/>
          <w:color w:val="auto"/>
          <w:kern w:val="0"/>
          <w:sz w:val="21"/>
          <w:szCs w:val="21"/>
          <w:highlight w:val="none"/>
          <w:lang w:val="zh-CN"/>
        </w:rPr>
        <w:t>否则其响应按无效响应处理。</w:t>
      </w:r>
    </w:p>
    <w:p>
      <w:pPr>
        <w:snapToGrid w:val="0"/>
        <w:spacing w:before="50" w:after="50" w:line="360" w:lineRule="auto"/>
        <w:ind w:firstLine="420" w:firstLineChars="200"/>
        <w:jc w:val="left"/>
        <w:rPr>
          <w:rFonts w:hint="eastAsia" w:ascii="宋体" w:hAnsi="宋体" w:eastAsia="宋体" w:cs="宋体"/>
          <w:b/>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lang w:val="zh-CN"/>
        </w:rPr>
        <w:t>、以上表格要求细分项目及报价，在“具体服务内容”一栏中，填写具体服务范围、服务时间、服务标准，</w:t>
      </w:r>
      <w:r>
        <w:rPr>
          <w:rFonts w:hint="eastAsia" w:ascii="宋体" w:hAnsi="宋体" w:eastAsia="宋体" w:cs="宋体"/>
          <w:b/>
          <w:color w:val="auto"/>
          <w:kern w:val="0"/>
          <w:sz w:val="21"/>
          <w:szCs w:val="21"/>
          <w:highlight w:val="none"/>
          <w:lang w:val="zh-CN"/>
        </w:rPr>
        <w:t>否则其响应按无效响应处理。</w:t>
      </w:r>
    </w:p>
    <w:p>
      <w:pPr>
        <w:snapToGrid w:val="0"/>
        <w:spacing w:line="36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3</w:t>
      </w:r>
      <w:r>
        <w:rPr>
          <w:rFonts w:hint="eastAsia" w:ascii="宋体" w:hAnsi="宋体" w:eastAsia="宋体" w:cs="宋体"/>
          <w:color w:val="auto"/>
          <w:kern w:val="0"/>
          <w:sz w:val="21"/>
          <w:szCs w:val="21"/>
          <w:highlight w:val="none"/>
          <w:lang w:val="zh-CN"/>
        </w:rPr>
        <w:t>、特别提示：采购代理机构将对项目名称和项目编号，成交供应商名称、地址和成交金额，主要成交标的的名称、服务范围、服务要求、服务时间、服务标准等予以公示。</w:t>
      </w:r>
    </w:p>
    <w:p>
      <w:pPr>
        <w:snapToGrid w:val="0"/>
        <w:spacing w:line="360" w:lineRule="auto"/>
        <w:ind w:firstLine="420" w:firstLineChars="200"/>
        <w:jc w:val="left"/>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lang w:val="en-US" w:eastAsia="zh-CN"/>
        </w:rPr>
        <w:t>4</w:t>
      </w:r>
      <w:r>
        <w:rPr>
          <w:rFonts w:hint="eastAsia" w:ascii="宋体" w:hAnsi="宋体" w:eastAsia="宋体" w:cs="宋体"/>
          <w:color w:val="auto"/>
          <w:kern w:val="0"/>
          <w:sz w:val="21"/>
          <w:szCs w:val="21"/>
          <w:highlight w:val="none"/>
          <w:lang w:val="zh-CN"/>
        </w:rPr>
        <w:t>、符合采购文件中列明的可享受中小企业扶持政策的供应商，请填写中小企业声明函。</w:t>
      </w:r>
    </w:p>
    <w:p>
      <w:pPr>
        <w:snapToGrid w:val="0"/>
        <w:spacing w:before="50" w:after="50" w:line="360" w:lineRule="auto"/>
        <w:ind w:firstLine="420" w:firstLineChars="200"/>
        <w:jc w:val="left"/>
        <w:rPr>
          <w:rFonts w:ascii="宋体" w:hAnsi="宋体" w:cs="仿宋_GB2312"/>
          <w:b/>
          <w:color w:val="auto"/>
          <w:sz w:val="24"/>
          <w:highlight w:val="none"/>
        </w:rPr>
      </w:pPr>
      <w:r>
        <w:rPr>
          <w:rFonts w:hint="eastAsia" w:ascii="宋体" w:hAnsi="宋体" w:eastAsia="宋体" w:cs="宋体"/>
          <w:color w:val="auto"/>
          <w:kern w:val="0"/>
          <w:sz w:val="21"/>
          <w:szCs w:val="21"/>
          <w:highlight w:val="none"/>
          <w:lang w:val="en-US" w:eastAsia="zh-CN"/>
        </w:rPr>
        <w:t>5、</w:t>
      </w:r>
      <w:r>
        <w:rPr>
          <w:rFonts w:hint="eastAsia" w:ascii="宋体" w:hAnsi="宋体" w:eastAsia="宋体" w:cs="宋体"/>
          <w:color w:val="auto"/>
          <w:kern w:val="0"/>
          <w:sz w:val="21"/>
          <w:szCs w:val="21"/>
          <w:highlight w:val="none"/>
          <w:lang w:val="zh-CN"/>
        </w:rPr>
        <w:t>供应商提供的中小企业声明函内容不实的，属于提供虚假材料谋取中标、成交，依照《中华人民共和国政府采购法》等国家有关规定追究相应责任。</w:t>
      </w:r>
    </w:p>
    <w:p>
      <w:pPr>
        <w:snapToGrid w:val="0"/>
        <w:spacing w:before="50" w:after="50" w:line="360" w:lineRule="auto"/>
        <w:ind w:right="-817" w:rightChars="-389"/>
        <w:rPr>
          <w:rFonts w:ascii="宋体" w:hAnsi="宋体" w:cs="仿宋_GB2312"/>
          <w:color w:val="auto"/>
          <w:sz w:val="24"/>
          <w:highlight w:val="none"/>
        </w:rPr>
      </w:pPr>
    </w:p>
    <w:p>
      <w:pPr>
        <w:snapToGrid w:val="0"/>
        <w:spacing w:before="50" w:after="50" w:line="360" w:lineRule="auto"/>
        <w:ind w:right="-817" w:rightChars="-389"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法定代表人或者其委托代理人（签字）：                    </w:t>
      </w:r>
    </w:p>
    <w:p>
      <w:pPr>
        <w:snapToGrid w:val="0"/>
        <w:spacing w:before="50" w:after="50" w:line="360" w:lineRule="auto"/>
        <w:ind w:right="-817" w:rightChars="-389"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供应商（盖公章）：      </w:t>
      </w:r>
    </w:p>
    <w:p>
      <w:pPr>
        <w:snapToGrid w:val="0"/>
        <w:spacing w:before="50" w:after="50" w:line="360" w:lineRule="auto"/>
        <w:ind w:right="-817" w:rightChars="-389" w:firstLine="480" w:firstLineChars="200"/>
        <w:rPr>
          <w:rFonts w:ascii="宋体" w:hAnsi="宋体" w:cs="仿宋_GB2312"/>
          <w:b/>
          <w:color w:val="auto"/>
          <w:sz w:val="24"/>
          <w:highlight w:val="none"/>
        </w:rPr>
      </w:pPr>
      <w:r>
        <w:rPr>
          <w:rFonts w:hint="eastAsia" w:ascii="宋体" w:hAnsi="宋体" w:cs="仿宋_GB2312"/>
          <w:color w:val="auto"/>
          <w:sz w:val="24"/>
          <w:highlight w:val="none"/>
        </w:rPr>
        <w:t>日期：   年   月   日</w:t>
      </w:r>
    </w:p>
    <w:p>
      <w:pPr>
        <w:spacing w:beforeLines="100" w:afterLines="50" w:line="520" w:lineRule="exact"/>
        <w:ind w:left="540" w:firstLine="643" w:firstLineChars="200"/>
        <w:jc w:val="center"/>
        <w:rPr>
          <w:rFonts w:ascii="仿宋_GB2312" w:hAnsi="仿宋_GB2312" w:eastAsia="仿宋_GB2312" w:cs="仿宋_GB2312"/>
          <w:color w:val="auto"/>
          <w:sz w:val="32"/>
          <w:szCs w:val="32"/>
          <w:highlight w:val="none"/>
        </w:rPr>
      </w:pPr>
      <w:r>
        <w:rPr>
          <w:rFonts w:hint="eastAsia" w:ascii="宋体" w:hAnsi="Courier New"/>
          <w:b/>
          <w:color w:val="auto"/>
          <w:sz w:val="32"/>
          <w:szCs w:val="32"/>
          <w:highlight w:val="none"/>
        </w:rPr>
        <w:br w:type="page"/>
      </w:r>
      <w:r>
        <w:rPr>
          <w:rFonts w:hint="eastAsia" w:ascii="方正小标宋简体" w:hAnsi="方正小标宋简体" w:eastAsia="方正小标宋简体" w:cs="方正小标宋简体"/>
          <w:bCs/>
          <w:color w:val="auto"/>
          <w:sz w:val="44"/>
          <w:szCs w:val="44"/>
          <w:highlight w:val="none"/>
        </w:rPr>
        <w:t>法定代表人身份证明</w:t>
      </w:r>
    </w:p>
    <w:p>
      <w:pPr>
        <w:spacing w:line="520" w:lineRule="exact"/>
        <w:ind w:left="540"/>
        <w:rPr>
          <w:rFonts w:ascii="仿宋_GB2312" w:hAnsi="仿宋_GB2312" w:eastAsia="仿宋_GB2312" w:cs="仿宋_GB2312"/>
          <w:color w:val="auto"/>
          <w:sz w:val="32"/>
          <w:szCs w:val="32"/>
          <w:highlight w:val="none"/>
        </w:rPr>
      </w:pPr>
    </w:p>
    <w:p>
      <w:pPr>
        <w:spacing w:line="360" w:lineRule="auto"/>
        <w:ind w:left="540" w:firstLine="480" w:firstLineChars="200"/>
        <w:rPr>
          <w:rFonts w:ascii="宋体" w:hAnsi="宋体" w:cs="仿宋_GB2312"/>
          <w:color w:val="auto"/>
          <w:sz w:val="24"/>
          <w:highlight w:val="none"/>
        </w:rPr>
      </w:pPr>
      <w:r>
        <w:rPr>
          <w:rFonts w:hint="eastAsia" w:ascii="宋体" w:hAnsi="宋体" w:cs="仿宋_GB2312"/>
          <w:color w:val="auto"/>
          <w:sz w:val="24"/>
          <w:highlight w:val="none"/>
        </w:rPr>
        <w:t>供应商名称：</w:t>
      </w:r>
    </w:p>
    <w:p>
      <w:pPr>
        <w:spacing w:line="360" w:lineRule="auto"/>
        <w:ind w:left="540" w:firstLine="480" w:firstLineChars="200"/>
        <w:rPr>
          <w:rFonts w:ascii="宋体" w:hAnsi="宋体" w:cs="仿宋_GB2312"/>
          <w:color w:val="auto"/>
          <w:sz w:val="24"/>
          <w:highlight w:val="none"/>
        </w:rPr>
      </w:pPr>
      <w:r>
        <w:rPr>
          <w:rFonts w:hint="eastAsia" w:ascii="宋体" w:hAnsi="宋体" w:cs="仿宋_GB2312"/>
          <w:color w:val="auto"/>
          <w:sz w:val="24"/>
          <w:highlight w:val="none"/>
        </w:rPr>
        <w:t>地    址：</w:t>
      </w:r>
    </w:p>
    <w:p>
      <w:pPr>
        <w:spacing w:line="360" w:lineRule="auto"/>
        <w:ind w:left="540" w:firstLine="480" w:firstLineChars="200"/>
        <w:rPr>
          <w:rFonts w:ascii="宋体" w:hAnsi="宋体" w:cs="仿宋_GB2312"/>
          <w:color w:val="auto"/>
          <w:sz w:val="24"/>
          <w:highlight w:val="none"/>
        </w:rPr>
      </w:pPr>
      <w:r>
        <w:rPr>
          <w:rFonts w:hint="eastAsia" w:ascii="宋体" w:hAnsi="宋体" w:cs="仿宋_GB2312"/>
          <w:color w:val="auto"/>
          <w:sz w:val="24"/>
          <w:highlight w:val="none"/>
        </w:rPr>
        <w:t>姓    名：性     别：</w:t>
      </w:r>
    </w:p>
    <w:p>
      <w:pPr>
        <w:spacing w:line="360" w:lineRule="auto"/>
        <w:ind w:left="540" w:firstLine="480" w:firstLineChars="200"/>
        <w:rPr>
          <w:rFonts w:ascii="宋体" w:hAnsi="宋体" w:cs="仿宋_GB2312"/>
          <w:color w:val="auto"/>
          <w:sz w:val="24"/>
          <w:highlight w:val="none"/>
          <w:u w:val="single"/>
        </w:rPr>
      </w:pPr>
      <w:r>
        <w:rPr>
          <w:rFonts w:hint="eastAsia" w:ascii="宋体" w:hAnsi="宋体" w:cs="仿宋_GB2312"/>
          <w:color w:val="auto"/>
          <w:sz w:val="24"/>
          <w:highlight w:val="none"/>
        </w:rPr>
        <w:t>年    龄：职     务：</w:t>
      </w:r>
    </w:p>
    <w:p>
      <w:pPr>
        <w:spacing w:line="360" w:lineRule="auto"/>
        <w:ind w:left="540" w:firstLine="480" w:firstLineChars="200"/>
        <w:rPr>
          <w:rFonts w:ascii="宋体" w:hAnsi="宋体" w:cs="仿宋_GB2312"/>
          <w:color w:val="auto"/>
          <w:sz w:val="24"/>
          <w:highlight w:val="none"/>
        </w:rPr>
      </w:pPr>
      <w:r>
        <w:rPr>
          <w:rFonts w:hint="eastAsia" w:ascii="宋体" w:hAnsi="宋体" w:cs="仿宋_GB2312"/>
          <w:color w:val="auto"/>
          <w:sz w:val="24"/>
          <w:highlight w:val="none"/>
        </w:rPr>
        <w:t>身份证号码：</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系</w:t>
      </w:r>
      <w:r>
        <w:rPr>
          <w:rFonts w:hint="eastAsia" w:ascii="宋体" w:hAnsi="宋体" w:cs="仿宋_GB2312"/>
          <w:color w:val="auto"/>
          <w:sz w:val="24"/>
          <w:highlight w:val="none"/>
          <w:u w:val="single"/>
        </w:rPr>
        <w:t>（供应商名称）</w:t>
      </w:r>
      <w:r>
        <w:rPr>
          <w:rFonts w:hint="eastAsia" w:ascii="宋体" w:hAnsi="宋体" w:cs="仿宋_GB2312"/>
          <w:color w:val="auto"/>
          <w:sz w:val="24"/>
          <w:highlight w:val="none"/>
        </w:rPr>
        <w:t>的法定代表人。</w:t>
      </w:r>
    </w:p>
    <w:p>
      <w:pPr>
        <w:spacing w:line="360" w:lineRule="auto"/>
        <w:ind w:left="540" w:firstLine="480" w:firstLineChars="200"/>
        <w:rPr>
          <w:rFonts w:ascii="宋体" w:hAnsi="宋体" w:cs="仿宋_GB2312"/>
          <w:color w:val="auto"/>
          <w:sz w:val="24"/>
          <w:highlight w:val="none"/>
        </w:rPr>
      </w:pPr>
      <w:r>
        <w:rPr>
          <w:rFonts w:hint="eastAsia" w:ascii="宋体" w:hAnsi="宋体" w:cs="仿宋_GB2312"/>
          <w:color w:val="auto"/>
          <w:sz w:val="24"/>
          <w:highlight w:val="none"/>
        </w:rPr>
        <w:t>特此证明。</w:t>
      </w:r>
    </w:p>
    <w:p>
      <w:pPr>
        <w:spacing w:line="360" w:lineRule="auto"/>
        <w:ind w:left="540"/>
        <w:rPr>
          <w:rFonts w:ascii="宋体" w:hAnsi="宋体" w:cs="仿宋_GB2312"/>
          <w:color w:val="auto"/>
          <w:sz w:val="24"/>
          <w:highlight w:val="none"/>
        </w:rPr>
      </w:pPr>
    </w:p>
    <w:p>
      <w:pPr>
        <w:spacing w:line="360" w:lineRule="auto"/>
        <w:ind w:left="540"/>
        <w:rPr>
          <w:rFonts w:ascii="宋体" w:hAnsi="宋体" w:cs="仿宋_GB2312"/>
          <w:color w:val="auto"/>
          <w:sz w:val="24"/>
          <w:highlight w:val="none"/>
        </w:rPr>
      </w:pPr>
    </w:p>
    <w:p>
      <w:pPr>
        <w:spacing w:line="360" w:lineRule="auto"/>
        <w:ind w:left="540"/>
        <w:rPr>
          <w:rFonts w:ascii="宋体" w:hAnsi="宋体" w:cs="仿宋_GB2312"/>
          <w:color w:val="auto"/>
          <w:sz w:val="24"/>
          <w:highlight w:val="none"/>
        </w:rPr>
      </w:pPr>
    </w:p>
    <w:p>
      <w:pPr>
        <w:spacing w:line="360" w:lineRule="auto"/>
        <w:ind w:left="540" w:firstLine="480" w:firstLineChars="200"/>
        <w:rPr>
          <w:rFonts w:ascii="宋体" w:hAnsi="宋体" w:cs="仿宋_GB2312"/>
          <w:color w:val="auto"/>
          <w:sz w:val="24"/>
          <w:highlight w:val="none"/>
        </w:rPr>
      </w:pPr>
      <w:r>
        <w:rPr>
          <w:rFonts w:hint="eastAsia" w:ascii="宋体" w:hAnsi="宋体" w:cs="仿宋_GB2312"/>
          <w:color w:val="auto"/>
          <w:sz w:val="24"/>
          <w:highlight w:val="none"/>
        </w:rPr>
        <w:t>附件：法定代表人有效身份证正反面复印件</w:t>
      </w:r>
    </w:p>
    <w:p>
      <w:pPr>
        <w:spacing w:line="360" w:lineRule="auto"/>
        <w:ind w:left="540"/>
        <w:rPr>
          <w:rFonts w:ascii="宋体" w:hAnsi="宋体" w:cs="仿宋_GB2312"/>
          <w:color w:val="auto"/>
          <w:sz w:val="24"/>
          <w:highlight w:val="none"/>
        </w:rPr>
      </w:pPr>
    </w:p>
    <w:p>
      <w:pPr>
        <w:spacing w:line="360" w:lineRule="auto"/>
        <w:ind w:left="540" w:firstLine="480" w:firstLineChars="200"/>
        <w:jc w:val="right"/>
        <w:rPr>
          <w:rFonts w:ascii="宋体" w:hAnsi="宋体" w:cs="仿宋_GB2312"/>
          <w:color w:val="auto"/>
          <w:sz w:val="24"/>
          <w:highlight w:val="none"/>
        </w:rPr>
      </w:pPr>
      <w:r>
        <w:rPr>
          <w:rFonts w:hint="eastAsia" w:ascii="宋体" w:hAnsi="宋体" w:cs="仿宋_GB2312"/>
          <w:color w:val="auto"/>
          <w:sz w:val="24"/>
          <w:highlight w:val="none"/>
        </w:rPr>
        <w:t>供应商（盖公章）：</w:t>
      </w:r>
    </w:p>
    <w:p>
      <w:pPr>
        <w:snapToGrid w:val="0"/>
        <w:spacing w:beforeLines="50" w:after="50"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年月日</w:t>
      </w:r>
    </w:p>
    <w:p>
      <w:pPr>
        <w:snapToGrid w:val="0"/>
        <w:spacing w:beforeLines="50" w:after="50" w:line="360" w:lineRule="auto"/>
        <w:jc w:val="center"/>
        <w:rPr>
          <w:rFonts w:ascii="宋体" w:hAnsi="宋体" w:cs="仿宋_GB2312"/>
          <w:b/>
          <w:color w:val="auto"/>
          <w:sz w:val="24"/>
          <w:highlight w:val="none"/>
        </w:rPr>
      </w:pPr>
    </w:p>
    <w:p>
      <w:pPr>
        <w:snapToGrid w:val="0"/>
        <w:spacing w:beforeLines="50" w:after="50" w:line="360" w:lineRule="auto"/>
        <w:jc w:val="left"/>
        <w:rPr>
          <w:rFonts w:ascii="宋体" w:hAnsi="宋体" w:cs="仿宋_GB2312"/>
          <w:color w:val="auto"/>
          <w:sz w:val="24"/>
          <w:highlight w:val="none"/>
        </w:rPr>
      </w:pPr>
    </w:p>
    <w:p>
      <w:pPr>
        <w:snapToGrid w:val="0"/>
        <w:spacing w:beforeLines="50" w:after="50" w:line="360" w:lineRule="auto"/>
        <w:ind w:firstLine="480" w:firstLineChars="200"/>
        <w:jc w:val="left"/>
        <w:rPr>
          <w:rFonts w:ascii="宋体" w:hAnsi="宋体" w:cs="仿宋_GB2312"/>
          <w:color w:val="auto"/>
          <w:sz w:val="24"/>
          <w:highlight w:val="none"/>
        </w:rPr>
      </w:pPr>
      <w:r>
        <w:rPr>
          <w:rFonts w:hint="eastAsia" w:ascii="宋体" w:hAnsi="宋体" w:cs="仿宋_GB2312"/>
          <w:color w:val="auto"/>
          <w:sz w:val="24"/>
          <w:highlight w:val="none"/>
        </w:rPr>
        <w:t>注：1</w:t>
      </w:r>
      <w:r>
        <w:rPr>
          <w:rFonts w:ascii="宋体" w:hAnsi="宋体" w:cs="仿宋_GB2312"/>
          <w:color w:val="auto"/>
          <w:sz w:val="24"/>
          <w:highlight w:val="none"/>
        </w:rPr>
        <w:t>.</w:t>
      </w:r>
      <w:r>
        <w:rPr>
          <w:rFonts w:hint="eastAsia" w:ascii="宋体" w:hAnsi="宋体" w:cs="仿宋_GB2312"/>
          <w:color w:val="auto"/>
          <w:sz w:val="24"/>
          <w:highlight w:val="none"/>
        </w:rPr>
        <w:t>自然人竞标的无需提供，联合体竞标的只需牵头人出具。</w:t>
      </w:r>
    </w:p>
    <w:p>
      <w:pPr>
        <w:snapToGrid w:val="0"/>
        <w:spacing w:beforeLines="50" w:after="50" w:line="360" w:lineRule="auto"/>
        <w:ind w:firstLine="480" w:firstLineChars="200"/>
        <w:jc w:val="left"/>
        <w:rPr>
          <w:rFonts w:ascii="仿宋_GB2312" w:hAnsi="仿宋_GB2312" w:eastAsia="仿宋_GB2312" w:cs="仿宋_GB2312"/>
          <w:b/>
          <w:color w:val="auto"/>
          <w:sz w:val="32"/>
          <w:szCs w:val="32"/>
          <w:highlight w:val="none"/>
        </w:rPr>
      </w:pPr>
      <w:r>
        <w:rPr>
          <w:rFonts w:hint="eastAsia" w:ascii="宋体" w:hAnsi="宋体" w:cs="仿宋_GB2312"/>
          <w:color w:val="auto"/>
          <w:sz w:val="24"/>
          <w:highlight w:val="none"/>
        </w:rPr>
        <w:t>2</w:t>
      </w:r>
      <w:r>
        <w:rPr>
          <w:rFonts w:ascii="宋体" w:hAnsi="宋体" w:cs="仿宋_GB2312"/>
          <w:color w:val="auto"/>
          <w:sz w:val="24"/>
          <w:highlight w:val="none"/>
        </w:rPr>
        <w:t>.</w:t>
      </w:r>
      <w:r>
        <w:rPr>
          <w:rFonts w:hint="eastAsia" w:ascii="宋体" w:hAnsi="宋体" w:cs="仿宋_GB2312"/>
          <w:color w:val="auto"/>
          <w:sz w:val="24"/>
          <w:highlight w:val="none"/>
        </w:rPr>
        <w:t>供应商为其他组织或者自然人时，本磋商文件规定的法定代表人指负责人或者自然人。本磋商文件所称负责人是指参加竞标的其他组织营业执照上的负责人，本磋商文件所称自然人指参与竞标的自然人本人。</w:t>
      </w:r>
    </w:p>
    <w:p>
      <w:pPr>
        <w:adjustRightInd w:val="0"/>
        <w:snapToGrid w:val="0"/>
        <w:spacing w:line="300" w:lineRule="auto"/>
        <w:jc w:val="left"/>
        <w:rPr>
          <w:rFonts w:ascii="宋体" w:hAnsi="宋体"/>
          <w:b/>
          <w:color w:val="auto"/>
          <w:szCs w:val="21"/>
          <w:highlight w:val="none"/>
        </w:rPr>
      </w:pPr>
    </w:p>
    <w:p>
      <w:pPr>
        <w:spacing w:line="500" w:lineRule="exact"/>
        <w:ind w:firstLine="880" w:firstLineChars="20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br w:type="page"/>
      </w:r>
    </w:p>
    <w:p>
      <w:pPr>
        <w:spacing w:line="520" w:lineRule="exact"/>
        <w:ind w:firstLine="880" w:firstLineChars="20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法定代表人授权委托书</w:t>
      </w:r>
    </w:p>
    <w:p>
      <w:pPr>
        <w:spacing w:line="520" w:lineRule="exact"/>
        <w:ind w:firstLine="880" w:firstLineChars="200"/>
        <w:jc w:val="center"/>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（如有委托时）</w:t>
      </w:r>
    </w:p>
    <w:p>
      <w:pPr>
        <w:spacing w:line="520" w:lineRule="exact"/>
        <w:rPr>
          <w:rFonts w:ascii="仿宋_GB2312" w:hAnsi="仿宋_GB2312" w:eastAsia="仿宋_GB2312" w:cs="仿宋_GB2312"/>
          <w:color w:val="auto"/>
          <w:sz w:val="32"/>
          <w:szCs w:val="32"/>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致：</w:t>
      </w:r>
      <w:r>
        <w:rPr>
          <w:rFonts w:hint="eastAsia" w:ascii="宋体" w:hAnsi="宋体" w:cs="仿宋_GB2312"/>
          <w:color w:val="auto"/>
          <w:sz w:val="24"/>
          <w:highlight w:val="none"/>
          <w:u w:val="single"/>
        </w:rPr>
        <w:t>（采购人名称或采购代理机构名称）</w:t>
      </w:r>
      <w:r>
        <w:rPr>
          <w:rFonts w:hint="eastAsia" w:ascii="宋体" w:hAnsi="宋体" w:cs="仿宋_GB2312"/>
          <w:color w:val="auto"/>
          <w:sz w:val="24"/>
          <w:highlight w:val="none"/>
        </w:rPr>
        <w:t>：</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我</w:t>
      </w:r>
      <w:r>
        <w:rPr>
          <w:rFonts w:hint="eastAsia" w:ascii="宋体" w:hAnsi="宋体" w:cs="仿宋_GB2312"/>
          <w:color w:val="auto"/>
          <w:sz w:val="24"/>
          <w:highlight w:val="none"/>
          <w:u w:val="single"/>
        </w:rPr>
        <w:t xml:space="preserve">  （姓名）  </w:t>
      </w:r>
      <w:r>
        <w:rPr>
          <w:rFonts w:hint="eastAsia" w:ascii="宋体" w:hAnsi="宋体" w:cs="仿宋_GB2312"/>
          <w:color w:val="auto"/>
          <w:sz w:val="24"/>
          <w:highlight w:val="none"/>
        </w:rPr>
        <w:t>系</w:t>
      </w:r>
      <w:r>
        <w:rPr>
          <w:rFonts w:hint="eastAsia" w:ascii="宋体" w:hAnsi="宋体" w:cs="仿宋_GB2312"/>
          <w:color w:val="auto"/>
          <w:sz w:val="24"/>
          <w:highlight w:val="none"/>
          <w:u w:val="single"/>
        </w:rPr>
        <w:t xml:space="preserve">  （供应商名称）  </w:t>
      </w:r>
      <w:r>
        <w:rPr>
          <w:rFonts w:hint="eastAsia" w:ascii="宋体" w:hAnsi="宋体" w:cs="仿宋_GB2312"/>
          <w:color w:val="auto"/>
          <w:sz w:val="24"/>
          <w:highlight w:val="none"/>
        </w:rPr>
        <w:t>的（</w:t>
      </w:r>
      <w:r>
        <w:rPr>
          <w:rFonts w:hint="eastAsia" w:ascii="宋体" w:hAnsi="宋体" w:cs="仿宋_GB2312"/>
          <w:color w:val="auto"/>
          <w:sz w:val="24"/>
          <w:highlight w:val="none"/>
          <w:u w:val="single"/>
        </w:rPr>
        <w:t>□法定代表人/□负责人/□自然人本人</w:t>
      </w:r>
      <w:r>
        <w:rPr>
          <w:rFonts w:hint="eastAsia" w:ascii="宋体" w:hAnsi="宋体" w:cs="仿宋_GB2312"/>
          <w:color w:val="auto"/>
          <w:sz w:val="24"/>
          <w:highlight w:val="none"/>
        </w:rPr>
        <w:t>），现授权</w:t>
      </w:r>
      <w:r>
        <w:rPr>
          <w:rFonts w:hint="eastAsia" w:ascii="宋体" w:hAnsi="宋体" w:cs="仿宋_GB2312"/>
          <w:color w:val="auto"/>
          <w:sz w:val="24"/>
          <w:highlight w:val="none"/>
          <w:u w:val="single"/>
        </w:rPr>
        <w:t xml:space="preserve"> （姓名） </w:t>
      </w:r>
      <w:r>
        <w:rPr>
          <w:rFonts w:hint="eastAsia" w:ascii="宋体" w:hAnsi="宋体" w:cs="仿宋_GB2312"/>
          <w:color w:val="auto"/>
          <w:sz w:val="24"/>
          <w:highlight w:val="none"/>
        </w:rPr>
        <w:t>以我方的名义参加项目的竞标活动，并代表我方全权办理针对上述项目的所有采购程序和环节的具体事务和签署相关文件。</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    我方对委托代理人的签字事项负全部责任。</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本授权书自签署之日起生效，在撤销授权的书面通知以前，本授权书一直有效。委托代理人在授权书有效期内签署的所有文件不因授权的撤销而失效。</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委托代理人无转委托权，特此委托。</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附：委托代理人有效身份证正反面复印件</w:t>
      </w:r>
    </w:p>
    <w:p>
      <w:pPr>
        <w:spacing w:line="360" w:lineRule="auto"/>
        <w:rPr>
          <w:rFonts w:ascii="宋体" w:hAnsi="宋体" w:cs="仿宋_GB2312"/>
          <w:color w:val="auto"/>
          <w:sz w:val="24"/>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委托代理人（签字）：         法定代表人（签字）：                    </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委托代理人身份证号码：                              </w:t>
      </w:r>
    </w:p>
    <w:p>
      <w:pPr>
        <w:spacing w:line="360" w:lineRule="auto"/>
        <w:rPr>
          <w:rFonts w:ascii="宋体" w:hAnsi="宋体" w:cs="仿宋_GB2312"/>
          <w:color w:val="auto"/>
          <w:sz w:val="24"/>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                         供应商（盖公章）：                      </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 xml:space="preserve">                                         年    月    日</w:t>
      </w:r>
    </w:p>
    <w:p>
      <w:pPr>
        <w:spacing w:line="360" w:lineRule="auto"/>
        <w:rPr>
          <w:rFonts w:ascii="宋体" w:hAnsi="宋体" w:cs="仿宋_GB2312"/>
          <w:color w:val="auto"/>
          <w:sz w:val="24"/>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注：1.法定代表人和其委托代理人必须在授权委托书上亲笔签名，不得使用印章、签名章或者其他电子制版签名代替；</w:t>
      </w:r>
    </w:p>
    <w:p>
      <w:pPr>
        <w:spacing w:line="360" w:lineRule="auto"/>
        <w:ind w:firstLine="480" w:firstLineChars="200"/>
        <w:jc w:val="left"/>
        <w:rPr>
          <w:rFonts w:ascii="仿宋_GB2312" w:hAnsi="仿宋_GB2312" w:eastAsia="仿宋_GB2312" w:cs="仿宋_GB2312"/>
          <w:color w:val="auto"/>
          <w:szCs w:val="21"/>
          <w:highlight w:val="none"/>
        </w:rPr>
      </w:pPr>
      <w:r>
        <w:rPr>
          <w:rFonts w:ascii="宋体" w:hAnsi="宋体" w:cs="仿宋_GB2312"/>
          <w:color w:val="auto"/>
          <w:sz w:val="24"/>
          <w:highlight w:val="none"/>
        </w:rPr>
        <w:t>2.</w:t>
      </w:r>
      <w:r>
        <w:rPr>
          <w:rFonts w:hint="eastAsia" w:ascii="宋体" w:hAnsi="宋体" w:cs="仿宋_GB2312"/>
          <w:color w:val="auto"/>
          <w:sz w:val="24"/>
          <w:highlight w:val="none"/>
        </w:rPr>
        <w:t>供应商为其他组织或者自然人时，本磋商文件规定的法定代表人指负责人或者自然人。本磋商文件所称负责人是指参加竞标的其他组织营业执照上的负责人，本磋商文件所称自然人指参与竞标的自然人本人。</w:t>
      </w:r>
    </w:p>
    <w:p>
      <w:pPr>
        <w:spacing w:line="500" w:lineRule="exact"/>
        <w:ind w:firstLine="420" w:firstLineChars="200"/>
        <w:jc w:val="center"/>
        <w:rPr>
          <w:rFonts w:hint="eastAsia" w:ascii="方正小标宋简体" w:hAnsi="方正小标宋简体" w:eastAsia="方正小标宋简体" w:cs="方正小标宋简体"/>
          <w:bCs/>
          <w:color w:val="auto"/>
          <w:sz w:val="44"/>
          <w:szCs w:val="44"/>
          <w:highlight w:val="none"/>
        </w:rPr>
      </w:pPr>
      <w:r>
        <w:rPr>
          <w:rFonts w:ascii="仿宋_GB2312" w:hAnsi="仿宋_GB2312" w:eastAsia="仿宋_GB2312" w:cs="仿宋_GB2312"/>
          <w:color w:val="auto"/>
          <w:szCs w:val="21"/>
          <w:highlight w:val="none"/>
        </w:rPr>
        <w:br w:type="page"/>
      </w:r>
      <w:r>
        <w:rPr>
          <w:rFonts w:hint="eastAsia" w:ascii="方正小标宋简体" w:hAnsi="方正小标宋简体" w:eastAsia="方正小标宋简体" w:cs="方正小标宋简体"/>
          <w:bCs/>
          <w:color w:val="auto"/>
          <w:sz w:val="44"/>
          <w:szCs w:val="44"/>
          <w:highlight w:val="none"/>
        </w:rPr>
        <w:t>商务条款偏离表格式</w:t>
      </w:r>
    </w:p>
    <w:p>
      <w:pPr>
        <w:snapToGrid w:val="0"/>
        <w:spacing w:before="50"/>
        <w:jc w:val="left"/>
        <w:rPr>
          <w:rFonts w:hint="eastAsia" w:ascii="宋体" w:hAnsi="宋体"/>
          <w:color w:val="auto"/>
          <w:sz w:val="24"/>
          <w:highlight w:val="none"/>
        </w:rPr>
      </w:pPr>
    </w:p>
    <w:p>
      <w:pPr>
        <w:pStyle w:val="15"/>
        <w:spacing w:line="360" w:lineRule="auto"/>
        <w:ind w:firstLine="480" w:firstLineChars="200"/>
        <w:rPr>
          <w:rFonts w:hint="eastAsia" w:hAnsi="宋体" w:cs="仿宋_GB2312"/>
          <w:color w:val="auto"/>
          <w:sz w:val="24"/>
          <w:szCs w:val="24"/>
          <w:highlight w:val="none"/>
        </w:rPr>
      </w:pPr>
      <w:r>
        <w:rPr>
          <w:rFonts w:hint="eastAsia" w:hAnsi="宋体" w:cs="仿宋_GB2312"/>
          <w:color w:val="auto"/>
          <w:sz w:val="24"/>
          <w:szCs w:val="24"/>
          <w:highlight w:val="none"/>
        </w:rPr>
        <w:t>所竞分标：</w:t>
      </w:r>
      <w:r>
        <w:rPr>
          <w:rFonts w:hint="eastAsia" w:hAnsi="宋体" w:cs="仿宋_GB2312"/>
          <w:color w:val="auto"/>
          <w:sz w:val="24"/>
          <w:szCs w:val="24"/>
          <w:highlight w:val="none"/>
          <w:u w:val="single"/>
        </w:rPr>
        <w:t xml:space="preserve">              </w:t>
      </w:r>
    </w:p>
    <w:p>
      <w:pPr>
        <w:snapToGrid w:val="0"/>
        <w:spacing w:before="50" w:line="360" w:lineRule="auto"/>
        <w:jc w:val="left"/>
        <w:rPr>
          <w:rFonts w:hint="eastAsia" w:ascii="宋体" w:hAnsi="宋体" w:cs="仿宋_GB2312"/>
          <w:color w:val="auto"/>
          <w:sz w:val="24"/>
          <w:highlight w:val="none"/>
          <w:u w:val="single"/>
        </w:rPr>
      </w:pPr>
    </w:p>
    <w:tbl>
      <w:tblPr>
        <w:tblStyle w:val="25"/>
        <w:tblpPr w:leftFromText="180" w:rightFromText="180" w:vertAnchor="text" w:horzAnchor="margin" w:tblpY="-9"/>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78"/>
        <w:gridCol w:w="2668"/>
        <w:gridCol w:w="2350"/>
        <w:gridCol w:w="2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项目</w:t>
            </w:r>
          </w:p>
        </w:tc>
        <w:tc>
          <w:tcPr>
            <w:tcW w:w="26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磋商文件商务条款要求</w:t>
            </w:r>
          </w:p>
        </w:tc>
        <w:tc>
          <w:tcPr>
            <w:tcW w:w="23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供应商的承诺</w:t>
            </w:r>
          </w:p>
        </w:tc>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auto"/>
                <w:sz w:val="24"/>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auto"/>
                <w:sz w:val="24"/>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ind w:left="43"/>
              <w:jc w:val="center"/>
              <w:rPr>
                <w:rFonts w:hint="eastAsia" w:ascii="宋体" w:hAnsi="宋体" w:cs="仿宋_GB2312"/>
                <w:color w:val="auto"/>
                <w:sz w:val="24"/>
                <w:highlight w:val="none"/>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ind w:left="43"/>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auto"/>
                <w:sz w:val="24"/>
                <w:highlight w:val="none"/>
              </w:rPr>
            </w:pPr>
          </w:p>
        </w:tc>
        <w:tc>
          <w:tcPr>
            <w:tcW w:w="26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7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w:t>
            </w:r>
          </w:p>
        </w:tc>
        <w:tc>
          <w:tcPr>
            <w:tcW w:w="266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c>
          <w:tcPr>
            <w:tcW w:w="2350"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c>
          <w:tcPr>
            <w:tcW w:w="21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line="360" w:lineRule="auto"/>
              <w:jc w:val="center"/>
              <w:rPr>
                <w:rFonts w:hint="eastAsia" w:ascii="宋体" w:hAnsi="宋体" w:cs="仿宋_GB2312"/>
                <w:color w:val="auto"/>
                <w:sz w:val="24"/>
                <w:highlight w:val="none"/>
              </w:rPr>
            </w:pPr>
          </w:p>
        </w:tc>
      </w:tr>
    </w:tbl>
    <w:p>
      <w:pPr>
        <w:pStyle w:val="11"/>
        <w:ind w:firstLine="480" w:firstLineChars="200"/>
        <w:rPr>
          <w:rFonts w:hint="eastAsia" w:ascii="宋体" w:hAnsi="宋体"/>
          <w:color w:val="auto"/>
          <w:kern w:val="0"/>
          <w:sz w:val="24"/>
          <w:szCs w:val="24"/>
          <w:highlight w:val="none"/>
        </w:rPr>
      </w:pPr>
      <w:r>
        <w:rPr>
          <w:rFonts w:hint="eastAsia" w:ascii="宋体" w:hAnsi="宋体"/>
          <w:color w:val="auto"/>
          <w:kern w:val="0"/>
          <w:sz w:val="24"/>
          <w:szCs w:val="24"/>
          <w:highlight w:val="none"/>
        </w:rPr>
        <w:t>注：</w:t>
      </w:r>
    </w:p>
    <w:p>
      <w:pPr>
        <w:pStyle w:val="11"/>
        <w:spacing w:line="360" w:lineRule="auto"/>
        <w:ind w:firstLine="480" w:firstLineChars="200"/>
        <w:rPr>
          <w:rFonts w:hint="eastAsia" w:ascii="宋体" w:hAnsi="宋体"/>
          <w:color w:val="auto"/>
          <w:kern w:val="0"/>
          <w:sz w:val="24"/>
          <w:szCs w:val="24"/>
          <w:highlight w:val="none"/>
        </w:rPr>
      </w:pPr>
      <w:r>
        <w:rPr>
          <w:rFonts w:hint="eastAsia" w:ascii="宋体" w:hAnsi="宋体"/>
          <w:color w:val="auto"/>
          <w:kern w:val="0"/>
          <w:sz w:val="24"/>
          <w:szCs w:val="24"/>
          <w:highlight w:val="none"/>
        </w:rPr>
        <w:t>1. 说明：应对照磋商文件“第三章 采购需求”中的商务条款逐条实质性响应，并作出偏离说明。</w:t>
      </w:r>
    </w:p>
    <w:p>
      <w:pPr>
        <w:snapToGrid w:val="0"/>
        <w:spacing w:before="50" w:line="360" w:lineRule="auto"/>
        <w:ind w:firstLine="480" w:firstLineChars="200"/>
        <w:jc w:val="left"/>
        <w:rPr>
          <w:rFonts w:hint="eastAsia" w:ascii="宋体" w:hAnsi="宋体" w:cs="仿宋_GB2312"/>
          <w:color w:val="auto"/>
          <w:sz w:val="24"/>
          <w:highlight w:val="none"/>
          <w:u w:val="single"/>
        </w:rPr>
      </w:pPr>
      <w:r>
        <w:rPr>
          <w:rFonts w:hint="eastAsia" w:ascii="宋体" w:hAnsi="宋体"/>
          <w:color w:val="auto"/>
          <w:kern w:val="0"/>
          <w:sz w:val="24"/>
          <w:highlight w:val="none"/>
        </w:rPr>
        <w:t>2.供应商应根据自身的承诺，对照磋商文件要求在“偏离说明”中注明“正偏离”、“负偏离”或者“无偏离”。既不属于“正偏离”也不属于“负偏离”即为“无偏离”。</w:t>
      </w:r>
    </w:p>
    <w:p>
      <w:pPr>
        <w:snapToGrid w:val="0"/>
        <w:spacing w:before="50" w:after="50" w:line="360" w:lineRule="auto"/>
        <w:ind w:right="-817" w:rightChars="-389"/>
        <w:rPr>
          <w:rFonts w:hint="eastAsia" w:ascii="宋体" w:hAnsi="宋体" w:cs="仿宋_GB2312"/>
          <w:color w:val="auto"/>
          <w:sz w:val="24"/>
          <w:highlight w:val="none"/>
        </w:rPr>
      </w:pPr>
    </w:p>
    <w:p>
      <w:pPr>
        <w:snapToGrid w:val="0"/>
        <w:spacing w:before="50" w:after="50" w:line="360" w:lineRule="auto"/>
        <w:ind w:right="-817" w:rightChars="-389" w:firstLine="480" w:firstLineChars="200"/>
        <w:rPr>
          <w:rFonts w:hint="eastAsia" w:ascii="宋体" w:hAnsi="宋体" w:cs="仿宋_GB2312"/>
          <w:color w:val="auto"/>
          <w:sz w:val="24"/>
          <w:highlight w:val="none"/>
        </w:rPr>
      </w:pPr>
      <w:r>
        <w:rPr>
          <w:rFonts w:hint="eastAsia" w:ascii="宋体" w:hAnsi="宋体" w:cs="仿宋_GB2312"/>
          <w:color w:val="auto"/>
          <w:sz w:val="24"/>
          <w:highlight w:val="none"/>
        </w:rPr>
        <w:t>法定代表人或者</w:t>
      </w:r>
      <w:r>
        <w:rPr>
          <w:rFonts w:hint="eastAsia" w:ascii="宋体" w:hAnsi="宋体" w:cs="仿宋_GB2312"/>
          <w:color w:val="auto"/>
          <w:sz w:val="24"/>
          <w:highlight w:val="none"/>
          <w:lang w:eastAsia="zh-CN"/>
        </w:rPr>
        <w:t>其</w:t>
      </w:r>
      <w:r>
        <w:rPr>
          <w:rFonts w:hint="eastAsia" w:ascii="宋体" w:hAnsi="宋体" w:cs="仿宋_GB2312"/>
          <w:color w:val="auto"/>
          <w:sz w:val="24"/>
          <w:highlight w:val="none"/>
        </w:rPr>
        <w:t xml:space="preserve">委托代理人（签字）：                    </w:t>
      </w:r>
    </w:p>
    <w:p>
      <w:pPr>
        <w:snapToGrid w:val="0"/>
        <w:spacing w:before="50" w:after="50" w:line="360" w:lineRule="auto"/>
        <w:ind w:right="-817" w:rightChars="-389" w:firstLine="480" w:firstLineChars="200"/>
        <w:rPr>
          <w:rFonts w:hint="eastAsia" w:ascii="宋体" w:hAnsi="宋体" w:cs="仿宋_GB2312"/>
          <w:color w:val="auto"/>
          <w:sz w:val="24"/>
          <w:highlight w:val="none"/>
        </w:rPr>
      </w:pPr>
      <w:r>
        <w:rPr>
          <w:rFonts w:hint="eastAsia" w:ascii="宋体" w:hAnsi="宋体" w:cs="仿宋_GB2312"/>
          <w:color w:val="auto"/>
          <w:sz w:val="24"/>
          <w:highlight w:val="none"/>
        </w:rPr>
        <w:t xml:space="preserve">供应商（盖公章）：      </w:t>
      </w:r>
    </w:p>
    <w:p>
      <w:pPr>
        <w:snapToGrid w:val="0"/>
        <w:spacing w:before="50" w:after="50" w:line="360" w:lineRule="auto"/>
        <w:ind w:right="-817" w:rightChars="-389" w:firstLine="480" w:firstLineChars="200"/>
        <w:rPr>
          <w:rFonts w:hint="eastAsia" w:ascii="仿宋_GB2312" w:hAnsi="仿宋_GB2312" w:eastAsia="仿宋_GB2312" w:cs="仿宋_GB2312"/>
          <w:b/>
          <w:color w:val="auto"/>
          <w:sz w:val="32"/>
          <w:szCs w:val="32"/>
          <w:highlight w:val="none"/>
        </w:rPr>
      </w:pPr>
      <w:r>
        <w:rPr>
          <w:rFonts w:hint="eastAsia" w:ascii="宋体" w:hAnsi="宋体" w:cs="仿宋_GB2312"/>
          <w:color w:val="auto"/>
          <w:sz w:val="24"/>
          <w:highlight w:val="none"/>
        </w:rPr>
        <w:t>日期：   年   月   日</w:t>
      </w:r>
    </w:p>
    <w:p>
      <w:pPr>
        <w:adjustRightInd w:val="0"/>
        <w:snapToGrid w:val="0"/>
        <w:spacing w:line="520" w:lineRule="exact"/>
        <w:ind w:firstLine="7040" w:firstLineChars="1600"/>
        <w:jc w:val="center"/>
        <w:rPr>
          <w:rFonts w:hint="eastAsia" w:ascii="方正小标宋简体" w:hAnsi="方正小标宋简体" w:eastAsia="方正小标宋简体" w:cs="方正小标宋简体"/>
          <w:bCs/>
          <w:color w:val="auto"/>
          <w:sz w:val="44"/>
          <w:szCs w:val="44"/>
          <w:highlight w:val="none"/>
        </w:rPr>
      </w:pPr>
    </w:p>
    <w:p>
      <w:pPr>
        <w:adjustRightInd w:val="0"/>
        <w:snapToGrid w:val="0"/>
        <w:spacing w:line="520" w:lineRule="exact"/>
        <w:ind w:firstLine="7040" w:firstLineChars="1600"/>
        <w:jc w:val="center"/>
        <w:rPr>
          <w:rFonts w:hint="eastAsia" w:ascii="方正小标宋简体" w:hAnsi="方正小标宋简体" w:eastAsia="方正小标宋简体" w:cs="方正小标宋简体"/>
          <w:bCs/>
          <w:color w:val="auto"/>
          <w:sz w:val="44"/>
          <w:szCs w:val="44"/>
          <w:highlight w:val="none"/>
        </w:rPr>
      </w:pPr>
    </w:p>
    <w:p>
      <w:pPr>
        <w:adjustRightInd w:val="0"/>
        <w:snapToGrid w:val="0"/>
        <w:spacing w:line="520" w:lineRule="exact"/>
        <w:ind w:firstLine="7040" w:firstLineChars="1600"/>
        <w:jc w:val="center"/>
        <w:rPr>
          <w:rFonts w:hint="eastAsia" w:ascii="方正小标宋简体" w:hAnsi="方正小标宋简体" w:eastAsia="方正小标宋简体" w:cs="方正小标宋简体"/>
          <w:bCs/>
          <w:color w:val="auto"/>
          <w:sz w:val="44"/>
          <w:szCs w:val="44"/>
          <w:highlight w:val="none"/>
        </w:rPr>
      </w:pPr>
    </w:p>
    <w:p>
      <w:pPr>
        <w:adjustRightInd w:val="0"/>
        <w:snapToGrid w:val="0"/>
        <w:spacing w:line="520" w:lineRule="exact"/>
        <w:ind w:firstLine="7040" w:firstLineChars="1600"/>
        <w:jc w:val="center"/>
        <w:rPr>
          <w:rFonts w:hint="eastAsia" w:ascii="方正小标宋简体" w:hAnsi="方正小标宋简体" w:eastAsia="方正小标宋简体" w:cs="方正小标宋简体"/>
          <w:bCs/>
          <w:color w:val="auto"/>
          <w:sz w:val="44"/>
          <w:szCs w:val="44"/>
          <w:highlight w:val="none"/>
        </w:rPr>
      </w:pPr>
    </w:p>
    <w:p>
      <w:pPr>
        <w:adjustRightInd w:val="0"/>
        <w:snapToGrid w:val="0"/>
        <w:spacing w:line="520" w:lineRule="exact"/>
        <w:rPr>
          <w:rFonts w:hint="eastAsia" w:ascii="宋体" w:hAnsi="宋体"/>
          <w:color w:val="auto"/>
          <w:szCs w:val="21"/>
          <w:highlight w:val="none"/>
          <w:u w:val="single"/>
        </w:rPr>
      </w:pPr>
    </w:p>
    <w:p>
      <w:pPr>
        <w:adjustRightInd w:val="0"/>
        <w:snapToGrid w:val="0"/>
        <w:spacing w:line="300" w:lineRule="auto"/>
        <w:rPr>
          <w:rFonts w:hint="eastAsia" w:ascii="宋体" w:hAnsi="宋体"/>
          <w:color w:val="auto"/>
          <w:szCs w:val="21"/>
          <w:highlight w:val="none"/>
          <w:u w:val="single"/>
        </w:rPr>
      </w:pPr>
    </w:p>
    <w:p>
      <w:pPr>
        <w:adjustRightInd w:val="0"/>
        <w:snapToGrid w:val="0"/>
        <w:spacing w:line="300" w:lineRule="auto"/>
        <w:ind w:firstLine="880" w:firstLineChars="20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技术需求偏离表</w:t>
      </w:r>
    </w:p>
    <w:p>
      <w:pPr>
        <w:spacing w:line="520" w:lineRule="exact"/>
        <w:rPr>
          <w:rFonts w:hint="eastAsia" w:ascii="仿宋_GB2312" w:hAnsi="仿宋_GB2312" w:eastAsia="仿宋_GB2312" w:cs="仿宋_GB2312"/>
          <w:color w:val="auto"/>
          <w:sz w:val="32"/>
          <w:szCs w:val="32"/>
          <w:highlight w:val="none"/>
        </w:rPr>
      </w:pPr>
    </w:p>
    <w:p>
      <w:pPr>
        <w:spacing w:line="360" w:lineRule="auto"/>
        <w:ind w:firstLine="480" w:firstLineChars="200"/>
        <w:rPr>
          <w:rFonts w:hint="eastAsia" w:ascii="宋体" w:hAnsi="宋体" w:cs="仿宋_GB2312"/>
          <w:color w:val="auto"/>
          <w:sz w:val="24"/>
          <w:highlight w:val="none"/>
          <w:u w:val="single"/>
        </w:rPr>
      </w:pPr>
      <w:r>
        <w:rPr>
          <w:rFonts w:hint="eastAsia" w:ascii="宋体" w:hAnsi="宋体" w:cs="仿宋_GB2312"/>
          <w:color w:val="auto"/>
          <w:sz w:val="24"/>
          <w:highlight w:val="none"/>
        </w:rPr>
        <w:t>采购项目编号：</w:t>
      </w:r>
      <w:r>
        <w:rPr>
          <w:rFonts w:hint="eastAsia" w:ascii="宋体" w:hAnsi="宋体" w:cs="仿宋_GB2312"/>
          <w:color w:val="auto"/>
          <w:sz w:val="24"/>
          <w:highlight w:val="none"/>
          <w:u w:val="single"/>
        </w:rPr>
        <w:t xml:space="preserve">                 </w:t>
      </w:r>
    </w:p>
    <w:p>
      <w:pPr>
        <w:spacing w:line="360" w:lineRule="auto"/>
        <w:ind w:firstLine="480" w:firstLineChars="200"/>
        <w:rPr>
          <w:rFonts w:hint="eastAsia" w:ascii="宋体" w:hAnsi="宋体" w:cs="仿宋_GB2312"/>
          <w:color w:val="auto"/>
          <w:sz w:val="24"/>
          <w:highlight w:val="none"/>
        </w:rPr>
      </w:pPr>
      <w:r>
        <w:rPr>
          <w:rFonts w:hint="eastAsia" w:ascii="宋体" w:hAnsi="宋体" w:cs="仿宋_GB2312"/>
          <w:color w:val="auto"/>
          <w:sz w:val="24"/>
          <w:highlight w:val="none"/>
        </w:rPr>
        <w:t>采购项目名称：</w:t>
      </w:r>
      <w:r>
        <w:rPr>
          <w:rFonts w:hint="eastAsia" w:ascii="宋体" w:hAnsi="宋体" w:cs="仿宋_GB2312"/>
          <w:color w:val="auto"/>
          <w:sz w:val="24"/>
          <w:highlight w:val="none"/>
          <w:u w:val="single"/>
        </w:rPr>
        <w:t xml:space="preserve">                 </w:t>
      </w:r>
    </w:p>
    <w:p>
      <w:pPr>
        <w:spacing w:line="360" w:lineRule="auto"/>
        <w:ind w:firstLine="480" w:firstLineChars="200"/>
        <w:rPr>
          <w:rFonts w:hint="eastAsia" w:ascii="宋体" w:hAnsi="宋体" w:cs="仿宋_GB2312"/>
          <w:color w:val="auto"/>
          <w:sz w:val="24"/>
          <w:highlight w:val="none"/>
          <w:u w:val="single"/>
        </w:rPr>
      </w:pPr>
      <w:r>
        <w:rPr>
          <w:rFonts w:hint="eastAsia" w:ascii="宋体" w:hAnsi="宋体" w:cs="仿宋_GB2312"/>
          <w:color w:val="auto"/>
          <w:sz w:val="24"/>
          <w:highlight w:val="none"/>
        </w:rPr>
        <w:t>分标号：</w:t>
      </w:r>
      <w:r>
        <w:rPr>
          <w:rFonts w:hint="eastAsia" w:ascii="宋体" w:hAnsi="宋体" w:cs="仿宋_GB2312"/>
          <w:color w:val="auto"/>
          <w:sz w:val="24"/>
          <w:highlight w:val="none"/>
          <w:u w:val="single"/>
        </w:rPr>
        <w:t xml:space="preserve">                       </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16"/>
        <w:gridCol w:w="915"/>
        <w:gridCol w:w="3038"/>
        <w:gridCol w:w="2734"/>
        <w:gridCol w:w="149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6"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51" w:name="_Toc173211900"/>
            <w:bookmarkStart w:id="52" w:name="_Toc254970729"/>
            <w:bookmarkStart w:id="53" w:name="_Toc295404981"/>
            <w:bookmarkStart w:id="54" w:name="_Toc373333689"/>
            <w:bookmarkStart w:id="55" w:name="_Toc254970588"/>
            <w:bookmarkStart w:id="56" w:name="_Toc173066401"/>
            <w:bookmarkStart w:id="57" w:name="_Toc297193185"/>
            <w:bookmarkStart w:id="58" w:name="_Toc383699906"/>
            <w:bookmarkStart w:id="59" w:name="_Toc301781611"/>
            <w:r>
              <w:rPr>
                <w:rFonts w:hint="eastAsia" w:ascii="宋体" w:hAnsi="宋体" w:eastAsia="宋体" w:cs="仿宋_GB2312"/>
                <w:color w:val="auto"/>
                <w:kern w:val="2"/>
                <w:sz w:val="24"/>
                <w:szCs w:val="24"/>
                <w:highlight w:val="none"/>
                <w:lang w:val="en-US" w:eastAsia="zh-CN"/>
              </w:rPr>
              <w:t>序号</w:t>
            </w:r>
            <w:bookmarkEnd w:id="51"/>
            <w:bookmarkEnd w:id="52"/>
            <w:bookmarkEnd w:id="53"/>
            <w:bookmarkEnd w:id="54"/>
            <w:bookmarkEnd w:id="55"/>
            <w:bookmarkEnd w:id="56"/>
            <w:bookmarkEnd w:id="57"/>
            <w:bookmarkEnd w:id="58"/>
            <w:bookmarkEnd w:id="59"/>
          </w:p>
        </w:tc>
        <w:tc>
          <w:tcPr>
            <w:tcW w:w="915" w:type="dxa"/>
            <w:tcBorders>
              <w:righ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r>
              <w:rPr>
                <w:rFonts w:hint="eastAsia" w:hAnsi="宋体" w:eastAsia="宋体" w:cs="宋体"/>
                <w:color w:val="auto"/>
                <w:kern w:val="2"/>
                <w:sz w:val="24"/>
                <w:szCs w:val="24"/>
                <w:highlight w:val="none"/>
                <w:lang w:val="en-US" w:eastAsia="zh-CN"/>
              </w:rPr>
              <w:t>标的名称</w:t>
            </w:r>
          </w:p>
        </w:tc>
        <w:tc>
          <w:tcPr>
            <w:tcW w:w="3038" w:type="dxa"/>
            <w:tcBorders>
              <w:lef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r>
              <w:rPr>
                <w:rFonts w:hint="eastAsia" w:ascii="宋体" w:hAnsi="宋体" w:eastAsia="宋体" w:cs="仿宋_GB2312"/>
                <w:color w:val="auto"/>
                <w:kern w:val="2"/>
                <w:sz w:val="24"/>
                <w:szCs w:val="24"/>
                <w:highlight w:val="none"/>
                <w:lang w:val="en-US" w:eastAsia="zh-CN"/>
              </w:rPr>
              <w:t>磋商文件技术需求</w:t>
            </w:r>
          </w:p>
        </w:tc>
        <w:tc>
          <w:tcPr>
            <w:tcW w:w="2734"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60" w:name="_Toc297193187"/>
            <w:bookmarkStart w:id="61" w:name="_Toc254970731"/>
            <w:bookmarkStart w:id="62" w:name="_Toc301781613"/>
            <w:bookmarkStart w:id="63" w:name="_Toc295404983"/>
            <w:bookmarkStart w:id="64" w:name="_Toc373333691"/>
            <w:bookmarkStart w:id="65" w:name="_Toc173211902"/>
            <w:bookmarkStart w:id="66" w:name="_Toc383699908"/>
            <w:bookmarkStart w:id="67" w:name="_Toc254970590"/>
            <w:bookmarkStart w:id="68" w:name="_Toc173066403"/>
            <w:r>
              <w:rPr>
                <w:rFonts w:hint="eastAsia" w:ascii="宋体" w:hAnsi="宋体" w:eastAsia="宋体" w:cs="仿宋_GB2312"/>
                <w:color w:val="auto"/>
                <w:kern w:val="2"/>
                <w:sz w:val="24"/>
                <w:szCs w:val="24"/>
                <w:highlight w:val="none"/>
                <w:lang w:val="en-US" w:eastAsia="zh-CN"/>
              </w:rPr>
              <w:t>竞标响应</w:t>
            </w:r>
            <w:bookmarkEnd w:id="60"/>
            <w:bookmarkEnd w:id="61"/>
            <w:bookmarkEnd w:id="62"/>
            <w:bookmarkEnd w:id="63"/>
            <w:bookmarkEnd w:id="64"/>
            <w:bookmarkEnd w:id="65"/>
            <w:bookmarkEnd w:id="66"/>
            <w:bookmarkEnd w:id="67"/>
            <w:bookmarkEnd w:id="68"/>
          </w:p>
        </w:tc>
        <w:tc>
          <w:tcPr>
            <w:tcW w:w="1492"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69" w:name="_Toc373333692"/>
            <w:bookmarkStart w:id="70" w:name="_Toc295404984"/>
            <w:bookmarkStart w:id="71" w:name="_Toc383699909"/>
            <w:bookmarkStart w:id="72" w:name="_Toc297193188"/>
            <w:bookmarkStart w:id="73" w:name="_Toc254970732"/>
            <w:bookmarkStart w:id="74" w:name="_Toc173066404"/>
            <w:bookmarkStart w:id="75" w:name="_Toc173211903"/>
            <w:bookmarkStart w:id="76" w:name="_Toc254970591"/>
            <w:bookmarkStart w:id="77" w:name="_Toc301781614"/>
            <w:r>
              <w:rPr>
                <w:rFonts w:hint="eastAsia" w:ascii="宋体" w:hAnsi="宋体" w:eastAsia="宋体" w:cs="仿宋_GB2312"/>
                <w:color w:val="auto"/>
                <w:kern w:val="2"/>
                <w:sz w:val="24"/>
                <w:szCs w:val="24"/>
                <w:highlight w:val="none"/>
                <w:lang w:val="en-US" w:eastAsia="zh-CN"/>
              </w:rPr>
              <w:t>偏离</w:t>
            </w:r>
            <w:bookmarkEnd w:id="69"/>
            <w:bookmarkEnd w:id="70"/>
            <w:bookmarkEnd w:id="71"/>
            <w:bookmarkEnd w:id="72"/>
            <w:bookmarkEnd w:id="73"/>
            <w:bookmarkEnd w:id="74"/>
            <w:bookmarkEnd w:id="75"/>
            <w:bookmarkEnd w:id="76"/>
            <w:bookmarkEnd w:id="77"/>
            <w:bookmarkStart w:id="78" w:name="_Toc254970733"/>
            <w:bookmarkStart w:id="79" w:name="_Toc295404985"/>
            <w:bookmarkStart w:id="80" w:name="_Toc254970592"/>
            <w:bookmarkStart w:id="81" w:name="_Toc301781615"/>
            <w:bookmarkStart w:id="82" w:name="_Toc383699910"/>
            <w:bookmarkStart w:id="83" w:name="_Toc173066405"/>
            <w:bookmarkStart w:id="84" w:name="_Toc173211904"/>
            <w:bookmarkStart w:id="85" w:name="_Toc373333693"/>
            <w:bookmarkStart w:id="86" w:name="_Toc297193189"/>
            <w:r>
              <w:rPr>
                <w:rFonts w:hint="eastAsia" w:ascii="宋体" w:hAnsi="宋体" w:eastAsia="宋体" w:cs="仿宋_GB2312"/>
                <w:color w:val="auto"/>
                <w:kern w:val="2"/>
                <w:sz w:val="24"/>
                <w:szCs w:val="24"/>
                <w:highlight w:val="none"/>
                <w:lang w:val="en-US" w:eastAsia="zh-CN"/>
              </w:rPr>
              <w:t>说明</w:t>
            </w:r>
            <w:bookmarkEnd w:id="78"/>
            <w:bookmarkEnd w:id="79"/>
            <w:bookmarkEnd w:id="80"/>
            <w:bookmarkEnd w:id="81"/>
            <w:bookmarkEnd w:id="82"/>
            <w:bookmarkEnd w:id="83"/>
            <w:bookmarkEnd w:id="84"/>
            <w:bookmarkEnd w:id="85"/>
            <w:bookmarkEnd w:id="86"/>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6"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87" w:name="_Toc301781616"/>
            <w:bookmarkStart w:id="88" w:name="_Toc254970734"/>
            <w:bookmarkStart w:id="89" w:name="_Toc295404986"/>
            <w:bookmarkStart w:id="90" w:name="_Toc173066406"/>
            <w:bookmarkStart w:id="91" w:name="_Toc173211905"/>
            <w:bookmarkStart w:id="92" w:name="_Toc297193190"/>
            <w:bookmarkStart w:id="93" w:name="_Toc373333694"/>
            <w:bookmarkStart w:id="94" w:name="_Toc254970593"/>
            <w:bookmarkStart w:id="95" w:name="_Toc383699911"/>
            <w:r>
              <w:rPr>
                <w:rFonts w:hint="eastAsia" w:ascii="宋体" w:hAnsi="宋体" w:eastAsia="宋体" w:cs="仿宋_GB2312"/>
                <w:color w:val="auto"/>
                <w:kern w:val="2"/>
                <w:sz w:val="24"/>
                <w:szCs w:val="24"/>
                <w:highlight w:val="none"/>
                <w:lang w:val="en-US" w:eastAsia="zh-CN"/>
              </w:rPr>
              <w:t>1</w:t>
            </w:r>
            <w:bookmarkEnd w:id="87"/>
            <w:bookmarkEnd w:id="88"/>
            <w:bookmarkEnd w:id="89"/>
            <w:bookmarkEnd w:id="90"/>
            <w:bookmarkEnd w:id="91"/>
            <w:bookmarkEnd w:id="92"/>
            <w:bookmarkEnd w:id="93"/>
            <w:bookmarkEnd w:id="94"/>
            <w:bookmarkEnd w:id="95"/>
          </w:p>
        </w:tc>
        <w:tc>
          <w:tcPr>
            <w:tcW w:w="915" w:type="dxa"/>
            <w:tcBorders>
              <w:righ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3038" w:type="dxa"/>
            <w:tcBorders>
              <w:lef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2734"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1492"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6"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96" w:name="_Toc254970594"/>
            <w:bookmarkStart w:id="97" w:name="_Toc297193191"/>
            <w:bookmarkStart w:id="98" w:name="_Toc383699912"/>
            <w:bookmarkStart w:id="99" w:name="_Toc301781617"/>
            <w:bookmarkStart w:id="100" w:name="_Toc173211906"/>
            <w:bookmarkStart w:id="101" w:name="_Toc295404987"/>
            <w:bookmarkStart w:id="102" w:name="_Toc373333695"/>
            <w:bookmarkStart w:id="103" w:name="_Toc173066407"/>
            <w:bookmarkStart w:id="104" w:name="_Toc254970735"/>
            <w:r>
              <w:rPr>
                <w:rFonts w:hint="eastAsia" w:ascii="宋体" w:hAnsi="宋体" w:eastAsia="宋体" w:cs="仿宋_GB2312"/>
                <w:color w:val="auto"/>
                <w:kern w:val="2"/>
                <w:sz w:val="24"/>
                <w:szCs w:val="24"/>
                <w:highlight w:val="none"/>
                <w:lang w:val="en-US" w:eastAsia="zh-CN"/>
              </w:rPr>
              <w:t>2</w:t>
            </w:r>
            <w:bookmarkEnd w:id="96"/>
            <w:bookmarkEnd w:id="97"/>
            <w:bookmarkEnd w:id="98"/>
            <w:bookmarkEnd w:id="99"/>
            <w:bookmarkEnd w:id="100"/>
            <w:bookmarkEnd w:id="101"/>
            <w:bookmarkEnd w:id="102"/>
            <w:bookmarkEnd w:id="103"/>
            <w:bookmarkEnd w:id="104"/>
          </w:p>
        </w:tc>
        <w:tc>
          <w:tcPr>
            <w:tcW w:w="915" w:type="dxa"/>
            <w:tcBorders>
              <w:righ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3038" w:type="dxa"/>
            <w:tcBorders>
              <w:lef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2734"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1492"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6"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105" w:name="_Toc373333696"/>
            <w:bookmarkStart w:id="106" w:name="_Toc383699913"/>
            <w:bookmarkStart w:id="107" w:name="_Toc173066408"/>
            <w:bookmarkStart w:id="108" w:name="_Toc254970595"/>
            <w:bookmarkStart w:id="109" w:name="_Toc254970736"/>
            <w:bookmarkStart w:id="110" w:name="_Toc301781618"/>
            <w:bookmarkStart w:id="111" w:name="_Toc297193192"/>
            <w:bookmarkStart w:id="112" w:name="_Toc173211907"/>
            <w:bookmarkStart w:id="113" w:name="_Toc295404988"/>
            <w:r>
              <w:rPr>
                <w:rFonts w:hint="eastAsia" w:ascii="宋体" w:hAnsi="宋体" w:eastAsia="宋体" w:cs="仿宋_GB2312"/>
                <w:color w:val="auto"/>
                <w:kern w:val="2"/>
                <w:sz w:val="24"/>
                <w:szCs w:val="24"/>
                <w:highlight w:val="none"/>
                <w:lang w:val="en-US" w:eastAsia="zh-CN"/>
              </w:rPr>
              <w:t>3</w:t>
            </w:r>
            <w:bookmarkEnd w:id="105"/>
            <w:bookmarkEnd w:id="106"/>
            <w:bookmarkEnd w:id="107"/>
            <w:bookmarkEnd w:id="108"/>
            <w:bookmarkEnd w:id="109"/>
            <w:bookmarkEnd w:id="110"/>
            <w:bookmarkEnd w:id="111"/>
            <w:bookmarkEnd w:id="112"/>
            <w:bookmarkEnd w:id="113"/>
          </w:p>
        </w:tc>
        <w:tc>
          <w:tcPr>
            <w:tcW w:w="915" w:type="dxa"/>
            <w:tcBorders>
              <w:righ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3038" w:type="dxa"/>
            <w:tcBorders>
              <w:lef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2734"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1492"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6"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114" w:name="_Toc254970737"/>
            <w:bookmarkStart w:id="115" w:name="_Toc383699914"/>
            <w:bookmarkStart w:id="116" w:name="_Toc373333697"/>
            <w:bookmarkStart w:id="117" w:name="_Toc173066409"/>
            <w:bookmarkStart w:id="118" w:name="_Toc301781619"/>
            <w:bookmarkStart w:id="119" w:name="_Toc254970596"/>
            <w:bookmarkStart w:id="120" w:name="_Toc173211908"/>
            <w:bookmarkStart w:id="121" w:name="_Toc297193193"/>
            <w:bookmarkStart w:id="122" w:name="_Toc295404989"/>
            <w:r>
              <w:rPr>
                <w:rFonts w:hint="eastAsia" w:ascii="宋体" w:hAnsi="宋体" w:eastAsia="宋体" w:cs="仿宋_GB2312"/>
                <w:color w:val="auto"/>
                <w:kern w:val="2"/>
                <w:sz w:val="24"/>
                <w:szCs w:val="24"/>
                <w:highlight w:val="none"/>
                <w:lang w:val="en-US" w:eastAsia="zh-CN"/>
              </w:rPr>
              <w:t>4</w:t>
            </w:r>
            <w:bookmarkEnd w:id="114"/>
            <w:bookmarkEnd w:id="115"/>
            <w:bookmarkEnd w:id="116"/>
            <w:bookmarkEnd w:id="117"/>
            <w:bookmarkEnd w:id="118"/>
            <w:bookmarkEnd w:id="119"/>
            <w:bookmarkEnd w:id="120"/>
            <w:bookmarkEnd w:id="121"/>
            <w:bookmarkEnd w:id="122"/>
          </w:p>
        </w:tc>
        <w:tc>
          <w:tcPr>
            <w:tcW w:w="915" w:type="dxa"/>
            <w:tcBorders>
              <w:righ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3038" w:type="dxa"/>
            <w:tcBorders>
              <w:lef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2734"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1492"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420" w:hRule="atLeast"/>
          <w:jc w:val="center"/>
        </w:trPr>
        <w:tc>
          <w:tcPr>
            <w:tcW w:w="916"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123" w:name="_Toc383699915"/>
            <w:bookmarkStart w:id="124" w:name="_Toc373333698"/>
            <w:bookmarkStart w:id="125" w:name="_Toc173066410"/>
            <w:bookmarkStart w:id="126" w:name="_Toc173211909"/>
            <w:bookmarkStart w:id="127" w:name="_Toc297193194"/>
            <w:bookmarkStart w:id="128" w:name="_Toc254970597"/>
            <w:bookmarkStart w:id="129" w:name="_Toc254970738"/>
            <w:bookmarkStart w:id="130" w:name="_Toc301781620"/>
            <w:bookmarkStart w:id="131" w:name="_Toc295404990"/>
            <w:r>
              <w:rPr>
                <w:rFonts w:hint="eastAsia" w:ascii="宋体" w:hAnsi="宋体" w:eastAsia="宋体" w:cs="仿宋_GB2312"/>
                <w:color w:val="auto"/>
                <w:kern w:val="2"/>
                <w:sz w:val="24"/>
                <w:szCs w:val="24"/>
                <w:highlight w:val="none"/>
                <w:lang w:val="en-US" w:eastAsia="zh-CN"/>
              </w:rPr>
              <w:t>5</w:t>
            </w:r>
            <w:bookmarkEnd w:id="123"/>
            <w:bookmarkEnd w:id="124"/>
            <w:bookmarkEnd w:id="125"/>
            <w:bookmarkEnd w:id="126"/>
            <w:bookmarkEnd w:id="127"/>
            <w:bookmarkEnd w:id="128"/>
            <w:bookmarkEnd w:id="129"/>
            <w:bookmarkEnd w:id="130"/>
            <w:bookmarkEnd w:id="131"/>
          </w:p>
        </w:tc>
        <w:tc>
          <w:tcPr>
            <w:tcW w:w="915" w:type="dxa"/>
            <w:tcBorders>
              <w:righ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3038" w:type="dxa"/>
            <w:tcBorders>
              <w:lef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2734"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1492"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jc w:val="center"/>
        </w:trPr>
        <w:tc>
          <w:tcPr>
            <w:tcW w:w="916"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bookmarkStart w:id="132" w:name="_Toc297193195"/>
            <w:bookmarkStart w:id="133" w:name="_Toc301781621"/>
            <w:bookmarkStart w:id="134" w:name="_Toc373333699"/>
            <w:bookmarkStart w:id="135" w:name="_Toc383699916"/>
            <w:bookmarkStart w:id="136" w:name="_Toc254970602"/>
            <w:bookmarkStart w:id="137" w:name="_Toc295404991"/>
            <w:bookmarkStart w:id="138" w:name="_Toc254970743"/>
            <w:bookmarkStart w:id="139" w:name="_Toc173211914"/>
            <w:bookmarkStart w:id="140" w:name="_Toc173066415"/>
            <w:r>
              <w:rPr>
                <w:rFonts w:hint="eastAsia" w:ascii="宋体" w:hAnsi="宋体" w:eastAsia="宋体" w:cs="仿宋_GB2312"/>
                <w:color w:val="auto"/>
                <w:kern w:val="2"/>
                <w:sz w:val="24"/>
                <w:szCs w:val="24"/>
                <w:highlight w:val="none"/>
                <w:lang w:val="en-US" w:eastAsia="zh-CN"/>
              </w:rPr>
              <w:t>…</w:t>
            </w:r>
            <w:bookmarkEnd w:id="132"/>
            <w:bookmarkEnd w:id="133"/>
            <w:bookmarkEnd w:id="134"/>
            <w:bookmarkEnd w:id="135"/>
            <w:bookmarkEnd w:id="136"/>
            <w:bookmarkEnd w:id="137"/>
            <w:bookmarkEnd w:id="138"/>
            <w:bookmarkEnd w:id="139"/>
            <w:bookmarkEnd w:id="140"/>
          </w:p>
        </w:tc>
        <w:tc>
          <w:tcPr>
            <w:tcW w:w="915" w:type="dxa"/>
            <w:tcBorders>
              <w:righ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3038" w:type="dxa"/>
            <w:tcBorders>
              <w:lef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2734" w:type="dxa"/>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c>
          <w:tcPr>
            <w:tcW w:w="1492" w:type="dxa"/>
            <w:tcBorders>
              <w:right w:val="single" w:color="auto" w:sz="4" w:space="0"/>
            </w:tcBorders>
            <w:noWrap w:val="0"/>
            <w:vAlign w:val="center"/>
          </w:tcPr>
          <w:p>
            <w:pPr>
              <w:pStyle w:val="13"/>
              <w:spacing w:line="360" w:lineRule="auto"/>
              <w:ind w:firstLine="0" w:firstLineChars="0"/>
              <w:jc w:val="center"/>
              <w:rPr>
                <w:rFonts w:hint="eastAsia" w:ascii="宋体" w:hAnsi="宋体" w:eastAsia="宋体" w:cs="仿宋_GB2312"/>
                <w:color w:val="auto"/>
                <w:kern w:val="2"/>
                <w:sz w:val="24"/>
                <w:szCs w:val="24"/>
                <w:highlight w:val="none"/>
                <w:lang w:val="en-US" w:eastAsia="zh-CN"/>
              </w:rPr>
            </w:pPr>
          </w:p>
        </w:tc>
      </w:tr>
    </w:tbl>
    <w:p>
      <w:pPr>
        <w:adjustRightInd w:val="0"/>
        <w:snapToGrid w:val="0"/>
        <w:spacing w:line="360" w:lineRule="auto"/>
        <w:rPr>
          <w:rFonts w:hint="eastAsia" w:ascii="宋体" w:hAnsi="宋体" w:cs="仿宋_GB2312"/>
          <w:color w:val="auto"/>
          <w:sz w:val="24"/>
          <w:highlight w:val="none"/>
        </w:rPr>
      </w:pPr>
    </w:p>
    <w:p>
      <w:pPr>
        <w:pStyle w:val="13"/>
        <w:spacing w:line="360" w:lineRule="auto"/>
        <w:ind w:firstLine="464" w:firstLineChars="200"/>
        <w:rPr>
          <w:rFonts w:hint="eastAsia" w:ascii="宋体" w:hAnsi="宋体" w:eastAsia="宋体" w:cs="仿宋_GB2312"/>
          <w:color w:val="auto"/>
          <w:sz w:val="24"/>
          <w:szCs w:val="24"/>
          <w:highlight w:val="none"/>
        </w:rPr>
      </w:pPr>
      <w:r>
        <w:rPr>
          <w:rFonts w:hint="eastAsia" w:ascii="宋体" w:hAnsi="宋体" w:eastAsia="宋体" w:cs="仿宋_GB2312"/>
          <w:color w:val="auto"/>
          <w:sz w:val="24"/>
          <w:szCs w:val="24"/>
          <w:highlight w:val="none"/>
        </w:rPr>
        <w:t>注：</w:t>
      </w:r>
    </w:p>
    <w:p>
      <w:pPr>
        <w:pStyle w:val="13"/>
        <w:spacing w:line="360" w:lineRule="auto"/>
        <w:ind w:firstLine="464" w:firstLineChars="200"/>
        <w:rPr>
          <w:rFonts w:hint="eastAsia" w:ascii="宋体" w:hAnsi="宋体" w:eastAsia="宋体" w:cs="仿宋_GB2312"/>
          <w:color w:val="auto"/>
          <w:sz w:val="24"/>
          <w:szCs w:val="24"/>
          <w:highlight w:val="none"/>
        </w:rPr>
      </w:pPr>
      <w:r>
        <w:rPr>
          <w:rFonts w:hint="eastAsia" w:ascii="宋体" w:hAnsi="宋体" w:eastAsia="宋体" w:cs="仿宋_GB2312"/>
          <w:color w:val="auto"/>
          <w:sz w:val="24"/>
          <w:szCs w:val="24"/>
          <w:highlight w:val="none"/>
        </w:rPr>
        <w:t>1. 说明：应对照磋商文件“第三章 采购需求”中的技术需求逐条实质性响应，并作出偏离说明。</w:t>
      </w:r>
    </w:p>
    <w:p>
      <w:pPr>
        <w:pStyle w:val="13"/>
        <w:spacing w:line="360" w:lineRule="auto"/>
        <w:ind w:firstLine="464" w:firstLineChars="200"/>
        <w:rPr>
          <w:rFonts w:hint="eastAsia" w:ascii="宋体" w:hAnsi="宋体" w:eastAsia="宋体" w:cs="仿宋_GB2312"/>
          <w:color w:val="auto"/>
          <w:sz w:val="24"/>
          <w:szCs w:val="24"/>
          <w:highlight w:val="none"/>
        </w:rPr>
      </w:pPr>
      <w:r>
        <w:rPr>
          <w:rFonts w:hint="eastAsia" w:ascii="宋体" w:hAnsi="宋体" w:eastAsia="宋体" w:cs="仿宋_GB2312"/>
          <w:color w:val="auto"/>
          <w:sz w:val="24"/>
          <w:szCs w:val="24"/>
          <w:highlight w:val="none"/>
        </w:rPr>
        <w:t>2.供应商应根据自身的承诺，对照磋商文件要求，在“偏离说明”中注明“正偏离”、“负偏离”或者“无偏离”。既不属于“正偏离”也不属于“负偏离”即为“无偏离”。</w:t>
      </w:r>
    </w:p>
    <w:p>
      <w:pPr>
        <w:pStyle w:val="15"/>
        <w:spacing w:line="360" w:lineRule="auto"/>
        <w:rPr>
          <w:rFonts w:hint="eastAsia" w:hAnsi="宋体" w:cs="仿宋_GB2312"/>
          <w:color w:val="auto"/>
          <w:sz w:val="24"/>
          <w:szCs w:val="24"/>
          <w:highlight w:val="none"/>
        </w:rPr>
      </w:pPr>
    </w:p>
    <w:p>
      <w:pPr>
        <w:snapToGrid w:val="0"/>
        <w:spacing w:before="50" w:after="50" w:line="360" w:lineRule="auto"/>
        <w:ind w:right="-817" w:rightChars="-389"/>
        <w:rPr>
          <w:rFonts w:hint="eastAsia" w:ascii="宋体" w:hAnsi="宋体" w:cs="仿宋_GB2312"/>
          <w:color w:val="auto"/>
          <w:sz w:val="24"/>
          <w:highlight w:val="none"/>
        </w:rPr>
      </w:pPr>
    </w:p>
    <w:p>
      <w:pPr>
        <w:snapToGrid w:val="0"/>
        <w:spacing w:before="50" w:after="50" w:line="360" w:lineRule="auto"/>
        <w:ind w:right="-817" w:rightChars="-389" w:firstLine="480" w:firstLineChars="200"/>
        <w:rPr>
          <w:rFonts w:hint="eastAsia" w:ascii="宋体" w:hAnsi="宋体" w:cs="仿宋_GB2312"/>
          <w:color w:val="auto"/>
          <w:sz w:val="24"/>
          <w:highlight w:val="none"/>
        </w:rPr>
      </w:pPr>
      <w:r>
        <w:rPr>
          <w:rFonts w:hint="eastAsia" w:ascii="宋体" w:hAnsi="宋体" w:cs="仿宋_GB2312"/>
          <w:color w:val="auto"/>
          <w:sz w:val="24"/>
          <w:highlight w:val="none"/>
        </w:rPr>
        <w:t>法定代表人或者</w:t>
      </w:r>
      <w:r>
        <w:rPr>
          <w:rFonts w:hint="eastAsia" w:ascii="宋体" w:hAnsi="宋体" w:cs="仿宋_GB2312"/>
          <w:color w:val="auto"/>
          <w:sz w:val="24"/>
          <w:highlight w:val="none"/>
          <w:lang w:eastAsia="zh-CN"/>
        </w:rPr>
        <w:t>其</w:t>
      </w:r>
      <w:r>
        <w:rPr>
          <w:rFonts w:hint="eastAsia" w:ascii="宋体" w:hAnsi="宋体" w:cs="仿宋_GB2312"/>
          <w:color w:val="auto"/>
          <w:sz w:val="24"/>
          <w:highlight w:val="none"/>
        </w:rPr>
        <w:t xml:space="preserve">委托代理人（签字）：                    </w:t>
      </w:r>
    </w:p>
    <w:p>
      <w:pPr>
        <w:snapToGrid w:val="0"/>
        <w:spacing w:before="50" w:after="50" w:line="360" w:lineRule="auto"/>
        <w:ind w:right="-817" w:rightChars="-389" w:firstLine="480" w:firstLineChars="200"/>
        <w:rPr>
          <w:rFonts w:hint="eastAsia" w:ascii="宋体" w:hAnsi="宋体" w:cs="仿宋_GB2312"/>
          <w:color w:val="auto"/>
          <w:sz w:val="24"/>
          <w:highlight w:val="none"/>
        </w:rPr>
      </w:pPr>
      <w:r>
        <w:rPr>
          <w:rFonts w:hint="eastAsia" w:ascii="宋体" w:hAnsi="宋体" w:cs="仿宋_GB2312"/>
          <w:color w:val="auto"/>
          <w:sz w:val="24"/>
          <w:highlight w:val="none"/>
        </w:rPr>
        <w:t xml:space="preserve">供应商（盖公章）：      </w:t>
      </w:r>
    </w:p>
    <w:p>
      <w:pPr>
        <w:snapToGrid w:val="0"/>
        <w:spacing w:before="50" w:after="50" w:line="360" w:lineRule="auto"/>
        <w:ind w:right="-817" w:rightChars="-389" w:firstLine="480" w:firstLineChars="200"/>
        <w:rPr>
          <w:rFonts w:ascii="宋体" w:hAnsi="宋体" w:cs="仿宋_GB2312"/>
          <w:color w:val="auto"/>
          <w:sz w:val="24"/>
          <w:highlight w:val="none"/>
        </w:rPr>
      </w:pPr>
      <w:r>
        <w:rPr>
          <w:rFonts w:hint="eastAsia" w:ascii="宋体" w:hAnsi="宋体" w:cs="仿宋_GB2312"/>
          <w:color w:val="auto"/>
          <w:sz w:val="24"/>
          <w:highlight w:val="none"/>
        </w:rPr>
        <w:t>日期：   年   月   日</w:t>
      </w:r>
    </w:p>
    <w:p>
      <w:pPr>
        <w:snapToGrid w:val="0"/>
        <w:spacing w:before="50" w:afterLines="50"/>
        <w:ind w:firstLine="480" w:firstLineChars="200"/>
        <w:jc w:val="left"/>
        <w:rPr>
          <w:rFonts w:hint="eastAsia" w:ascii="宋体" w:hAnsi="宋体"/>
          <w:b/>
          <w:color w:val="auto"/>
          <w:sz w:val="24"/>
          <w:highlight w:val="none"/>
        </w:rPr>
      </w:pPr>
      <w:r>
        <w:rPr>
          <w:rFonts w:ascii="宋体" w:hAnsi="宋体" w:cs="仿宋_GB2312"/>
          <w:color w:val="auto"/>
          <w:sz w:val="24"/>
          <w:highlight w:val="none"/>
        </w:rPr>
        <w:br w:type="page"/>
      </w:r>
    </w:p>
    <w:p>
      <w:pPr>
        <w:spacing w:line="300" w:lineRule="auto"/>
        <w:ind w:firstLine="602" w:firstLineChars="200"/>
        <w:rPr>
          <w:rFonts w:ascii="宋体" w:hAnsi="宋体"/>
          <w:color w:val="auto"/>
          <w:szCs w:val="21"/>
          <w:highlight w:val="none"/>
        </w:rPr>
      </w:pPr>
      <w:r>
        <w:rPr>
          <w:rFonts w:hint="eastAsia" w:ascii="宋体" w:hAnsi="宋体"/>
          <w:b/>
          <w:bCs/>
          <w:color w:val="auto"/>
          <w:sz w:val="30"/>
          <w:szCs w:val="30"/>
          <w:highlight w:val="none"/>
        </w:rPr>
        <w:t>其他文书、文件格式</w:t>
      </w:r>
    </w:p>
    <w:p>
      <w:pPr>
        <w:spacing w:line="520" w:lineRule="exact"/>
        <w:ind w:firstLine="880" w:firstLineChars="200"/>
        <w:jc w:val="center"/>
        <w:rPr>
          <w:rFonts w:ascii="仿宋_GB2312" w:hAnsi="仿宋_GB2312" w:eastAsia="仿宋_GB2312" w:cs="仿宋_GB2312"/>
          <w:color w:val="auto"/>
          <w:sz w:val="32"/>
          <w:szCs w:val="32"/>
          <w:highlight w:val="none"/>
        </w:rPr>
      </w:pPr>
      <w:r>
        <w:rPr>
          <w:rFonts w:hint="eastAsia" w:ascii="方正小标宋简体" w:hAnsi="方正小标宋简体" w:eastAsia="方正小标宋简体" w:cs="方正小标宋简体"/>
          <w:color w:val="auto"/>
          <w:sz w:val="44"/>
          <w:szCs w:val="44"/>
          <w:highlight w:val="none"/>
        </w:rPr>
        <w:t>中小企业声明函</w:t>
      </w:r>
    </w:p>
    <w:p>
      <w:pPr>
        <w:spacing w:line="520" w:lineRule="exact"/>
        <w:rPr>
          <w:rFonts w:ascii="仿宋_GB2312" w:hAnsi="仿宋_GB2312" w:eastAsia="仿宋_GB2312" w:cs="仿宋_GB2312"/>
          <w:color w:val="auto"/>
          <w:sz w:val="32"/>
          <w:szCs w:val="32"/>
          <w:highlight w:val="none"/>
        </w:rPr>
      </w:pPr>
    </w:p>
    <w:p>
      <w:pPr>
        <w:autoSpaceDE w:val="0"/>
        <w:autoSpaceDN w:val="0"/>
        <w:adjustRightInd w:val="0"/>
        <w:jc w:val="center"/>
        <w:rPr>
          <w:rFonts w:ascii="宋体" w:hAnsi="宋体" w:cs="宋体"/>
          <w:color w:val="auto"/>
          <w:kern w:val="0"/>
          <w:szCs w:val="21"/>
          <w:highlight w:val="none"/>
        </w:rPr>
      </w:pPr>
    </w:p>
    <w:p>
      <w:pPr>
        <w:autoSpaceDE w:val="0"/>
        <w:autoSpaceDN w:val="0"/>
        <w:adjustRightInd w:val="0"/>
        <w:spacing w:line="360" w:lineRule="auto"/>
        <w:ind w:firstLine="480" w:firstLineChars="200"/>
        <w:jc w:val="left"/>
        <w:rPr>
          <w:rFonts w:ascii="宋体" w:hAnsi="宋体" w:cs="仿宋"/>
          <w:color w:val="auto"/>
          <w:kern w:val="0"/>
          <w:sz w:val="24"/>
          <w:highlight w:val="none"/>
        </w:rPr>
      </w:pPr>
      <w:r>
        <w:rPr>
          <w:rFonts w:hint="eastAsia" w:ascii="宋体" w:hAnsi="宋体" w:cs="仿宋"/>
          <w:color w:val="auto"/>
          <w:kern w:val="0"/>
          <w:sz w:val="24"/>
          <w:highlight w:val="none"/>
        </w:rPr>
        <w:t>本公司（联合体）郑重声明，根据《政府采购促进中小企业发展管理办法》（财库</w:t>
      </w:r>
      <w:r>
        <w:rPr>
          <w:rFonts w:hint="eastAsia" w:ascii="宋体" w:hAnsi="宋体" w:cs="宋体"/>
          <w:color w:val="auto"/>
          <w:kern w:val="0"/>
          <w:sz w:val="24"/>
          <w:highlight w:val="none"/>
        </w:rPr>
        <w:t>﹝</w:t>
      </w:r>
      <w:r>
        <w:rPr>
          <w:rFonts w:ascii="宋体" w:hAnsi="宋体" w:cs="仿宋"/>
          <w:color w:val="auto"/>
          <w:kern w:val="0"/>
          <w:sz w:val="24"/>
          <w:highlight w:val="none"/>
        </w:rPr>
        <w:t>2020</w:t>
      </w:r>
      <w:r>
        <w:rPr>
          <w:rFonts w:hint="eastAsia" w:ascii="宋体" w:hAnsi="宋体" w:cs="宋体"/>
          <w:color w:val="auto"/>
          <w:kern w:val="0"/>
          <w:sz w:val="24"/>
          <w:highlight w:val="none"/>
        </w:rPr>
        <w:t>﹞</w:t>
      </w:r>
      <w:r>
        <w:rPr>
          <w:rFonts w:ascii="宋体" w:hAnsi="宋体" w:cs="仿宋"/>
          <w:color w:val="auto"/>
          <w:kern w:val="0"/>
          <w:sz w:val="24"/>
          <w:highlight w:val="none"/>
        </w:rPr>
        <w:t xml:space="preserve">46 </w:t>
      </w:r>
      <w:r>
        <w:rPr>
          <w:rFonts w:hint="eastAsia" w:ascii="宋体" w:hAnsi="宋体" w:cs="仿宋"/>
          <w:color w:val="auto"/>
          <w:kern w:val="0"/>
          <w:sz w:val="24"/>
          <w:highlight w:val="none"/>
        </w:rPr>
        <w:t>号）的规定，本公司（联合体）参加</w:t>
      </w:r>
      <w:r>
        <w:rPr>
          <w:rFonts w:hint="eastAsia" w:ascii="宋体" w:hAnsi="宋体" w:cs="仿宋"/>
          <w:i/>
          <w:color w:val="auto"/>
          <w:kern w:val="0"/>
          <w:sz w:val="24"/>
          <w:highlight w:val="none"/>
          <w:u w:val="single"/>
        </w:rPr>
        <w:t>（单位名称）</w:t>
      </w:r>
      <w:r>
        <w:rPr>
          <w:rFonts w:hint="eastAsia" w:ascii="宋体" w:hAnsi="宋体" w:cs="仿宋"/>
          <w:color w:val="auto"/>
          <w:kern w:val="0"/>
          <w:sz w:val="24"/>
          <w:highlight w:val="none"/>
        </w:rPr>
        <w:t>的</w:t>
      </w:r>
      <w:r>
        <w:rPr>
          <w:rFonts w:hint="eastAsia" w:ascii="宋体" w:hAnsi="宋体" w:cs="仿宋"/>
          <w:i/>
          <w:color w:val="auto"/>
          <w:kern w:val="0"/>
          <w:sz w:val="24"/>
          <w:highlight w:val="none"/>
          <w:u w:val="single"/>
        </w:rPr>
        <w:t>（项目名称）</w:t>
      </w:r>
      <w:r>
        <w:rPr>
          <w:rFonts w:hint="eastAsia" w:ascii="宋体" w:hAnsi="宋体" w:cs="仿宋"/>
          <w:color w:val="auto"/>
          <w:kern w:val="0"/>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autoSpaceDE w:val="0"/>
        <w:autoSpaceDN w:val="0"/>
        <w:adjustRightInd w:val="0"/>
        <w:spacing w:line="360" w:lineRule="auto"/>
        <w:ind w:firstLine="480" w:firstLineChars="200"/>
        <w:jc w:val="left"/>
        <w:rPr>
          <w:rFonts w:ascii="宋体" w:hAnsi="宋体" w:cs="仿宋"/>
          <w:color w:val="auto"/>
          <w:kern w:val="0"/>
          <w:sz w:val="24"/>
          <w:highlight w:val="none"/>
        </w:rPr>
      </w:pPr>
      <w:r>
        <w:rPr>
          <w:rFonts w:ascii="宋体" w:hAnsi="宋体" w:cs="仿宋"/>
          <w:color w:val="auto"/>
          <w:kern w:val="0"/>
          <w:sz w:val="24"/>
          <w:highlight w:val="none"/>
        </w:rPr>
        <w:t xml:space="preserve">1. </w:t>
      </w:r>
      <w:r>
        <w:rPr>
          <w:rFonts w:hint="eastAsia" w:ascii="宋体" w:hAnsi="宋体" w:cs="仿宋"/>
          <w:i/>
          <w:color w:val="auto"/>
          <w:kern w:val="0"/>
          <w:sz w:val="24"/>
          <w:highlight w:val="none"/>
          <w:u w:val="single"/>
        </w:rPr>
        <w:t>（标的名称）</w:t>
      </w:r>
      <w:r>
        <w:rPr>
          <w:rFonts w:hint="eastAsia" w:ascii="宋体" w:hAnsi="宋体" w:cs="仿宋"/>
          <w:color w:val="auto"/>
          <w:kern w:val="0"/>
          <w:sz w:val="24"/>
          <w:highlight w:val="none"/>
        </w:rPr>
        <w:t>，属于</w:t>
      </w:r>
      <w:r>
        <w:rPr>
          <w:rFonts w:hint="eastAsia" w:ascii="宋体" w:hAnsi="宋体" w:cs="仿宋"/>
          <w:i/>
          <w:color w:val="auto"/>
          <w:kern w:val="0"/>
          <w:sz w:val="24"/>
          <w:highlight w:val="none"/>
          <w:u w:val="single"/>
        </w:rPr>
        <w:t>（竞争性磋商文件中明确的所属行业）</w:t>
      </w:r>
      <w:r>
        <w:rPr>
          <w:rFonts w:hint="eastAsia" w:ascii="宋体" w:hAnsi="宋体" w:cs="仿宋"/>
          <w:color w:val="auto"/>
          <w:kern w:val="0"/>
          <w:sz w:val="24"/>
          <w:highlight w:val="none"/>
        </w:rPr>
        <w:t>；承建（承接）企业为</w:t>
      </w:r>
      <w:r>
        <w:rPr>
          <w:rFonts w:hint="eastAsia" w:ascii="宋体" w:hAnsi="宋体" w:cs="仿宋"/>
          <w:i/>
          <w:color w:val="auto"/>
          <w:kern w:val="0"/>
          <w:sz w:val="24"/>
          <w:highlight w:val="none"/>
          <w:u w:val="single"/>
        </w:rPr>
        <w:t>（企业名称）</w:t>
      </w:r>
      <w:r>
        <w:rPr>
          <w:rFonts w:hint="eastAsia" w:ascii="宋体" w:hAnsi="宋体" w:cs="仿宋"/>
          <w:color w:val="auto"/>
          <w:kern w:val="0"/>
          <w:sz w:val="24"/>
          <w:highlight w:val="none"/>
        </w:rPr>
        <w:t>，从业人员人，营业收入为万元，资产总额为万元，属于</w:t>
      </w:r>
      <w:r>
        <w:rPr>
          <w:rFonts w:hint="eastAsia" w:ascii="宋体" w:hAnsi="宋体" w:cs="仿宋"/>
          <w:i/>
          <w:color w:val="auto"/>
          <w:kern w:val="0"/>
          <w:sz w:val="24"/>
          <w:highlight w:val="none"/>
          <w:u w:val="single"/>
        </w:rPr>
        <w:t>（中型企业、小型企业、微型企业）</w:t>
      </w:r>
      <w:r>
        <w:rPr>
          <w:rFonts w:hint="eastAsia" w:ascii="宋体" w:hAnsi="宋体" w:cs="仿宋"/>
          <w:color w:val="auto"/>
          <w:kern w:val="0"/>
          <w:sz w:val="24"/>
          <w:highlight w:val="none"/>
        </w:rPr>
        <w:t>；</w:t>
      </w:r>
    </w:p>
    <w:p>
      <w:pPr>
        <w:autoSpaceDE w:val="0"/>
        <w:autoSpaceDN w:val="0"/>
        <w:adjustRightInd w:val="0"/>
        <w:spacing w:line="360" w:lineRule="auto"/>
        <w:ind w:firstLine="480" w:firstLineChars="200"/>
        <w:jc w:val="left"/>
        <w:rPr>
          <w:rFonts w:ascii="宋体" w:hAnsi="宋体" w:cs="仿宋"/>
          <w:color w:val="auto"/>
          <w:kern w:val="0"/>
          <w:sz w:val="24"/>
          <w:highlight w:val="none"/>
        </w:rPr>
      </w:pPr>
      <w:r>
        <w:rPr>
          <w:rFonts w:ascii="宋体" w:hAnsi="宋体" w:cs="仿宋"/>
          <w:color w:val="auto"/>
          <w:kern w:val="0"/>
          <w:sz w:val="24"/>
          <w:highlight w:val="none"/>
        </w:rPr>
        <w:t xml:space="preserve">2. </w:t>
      </w:r>
      <w:r>
        <w:rPr>
          <w:rFonts w:hint="eastAsia" w:ascii="宋体" w:hAnsi="宋体" w:cs="仿宋"/>
          <w:i/>
          <w:color w:val="auto"/>
          <w:kern w:val="0"/>
          <w:sz w:val="24"/>
          <w:highlight w:val="none"/>
          <w:u w:val="single"/>
        </w:rPr>
        <w:t>（标的名称）</w:t>
      </w:r>
      <w:r>
        <w:rPr>
          <w:rFonts w:hint="eastAsia" w:ascii="宋体" w:hAnsi="宋体" w:cs="仿宋"/>
          <w:color w:val="auto"/>
          <w:kern w:val="0"/>
          <w:sz w:val="24"/>
          <w:highlight w:val="none"/>
        </w:rPr>
        <w:t>，属于</w:t>
      </w:r>
      <w:r>
        <w:rPr>
          <w:rFonts w:hint="eastAsia" w:ascii="宋体" w:hAnsi="宋体" w:cs="仿宋"/>
          <w:i/>
          <w:color w:val="auto"/>
          <w:kern w:val="0"/>
          <w:sz w:val="24"/>
          <w:highlight w:val="none"/>
          <w:u w:val="single"/>
        </w:rPr>
        <w:t>（竞争性磋商文件中明确的所属行业）</w:t>
      </w:r>
      <w:r>
        <w:rPr>
          <w:rFonts w:hint="eastAsia" w:ascii="宋体" w:hAnsi="宋体" w:cs="仿宋"/>
          <w:color w:val="auto"/>
          <w:kern w:val="0"/>
          <w:sz w:val="24"/>
          <w:highlight w:val="none"/>
        </w:rPr>
        <w:t>；承建（承接）企业为</w:t>
      </w:r>
      <w:r>
        <w:rPr>
          <w:rFonts w:hint="eastAsia" w:ascii="宋体" w:hAnsi="宋体" w:cs="仿宋"/>
          <w:i/>
          <w:color w:val="auto"/>
          <w:kern w:val="0"/>
          <w:sz w:val="24"/>
          <w:highlight w:val="none"/>
          <w:u w:val="single"/>
        </w:rPr>
        <w:t>（企业名称）</w:t>
      </w:r>
      <w:r>
        <w:rPr>
          <w:rFonts w:hint="eastAsia" w:ascii="宋体" w:hAnsi="宋体" w:cs="仿宋"/>
          <w:color w:val="auto"/>
          <w:kern w:val="0"/>
          <w:sz w:val="24"/>
          <w:highlight w:val="none"/>
        </w:rPr>
        <w:t>，从业人员人，营业收入为万元，资产总额为万元，属于</w:t>
      </w:r>
      <w:r>
        <w:rPr>
          <w:rFonts w:hint="eastAsia" w:ascii="宋体" w:hAnsi="宋体" w:cs="仿宋"/>
          <w:i/>
          <w:color w:val="auto"/>
          <w:kern w:val="0"/>
          <w:sz w:val="24"/>
          <w:highlight w:val="none"/>
          <w:u w:val="single"/>
        </w:rPr>
        <w:t>（中型企业、小型企业、微型企业）</w:t>
      </w:r>
      <w:r>
        <w:rPr>
          <w:rFonts w:hint="eastAsia" w:ascii="宋体" w:hAnsi="宋体" w:cs="仿宋"/>
          <w:color w:val="auto"/>
          <w:kern w:val="0"/>
          <w:sz w:val="24"/>
          <w:highlight w:val="none"/>
        </w:rPr>
        <w:t>；</w:t>
      </w:r>
    </w:p>
    <w:p>
      <w:pPr>
        <w:autoSpaceDE w:val="0"/>
        <w:autoSpaceDN w:val="0"/>
        <w:adjustRightInd w:val="0"/>
        <w:spacing w:line="360" w:lineRule="auto"/>
        <w:ind w:firstLine="480" w:firstLineChars="200"/>
        <w:jc w:val="left"/>
        <w:rPr>
          <w:rFonts w:ascii="宋体" w:hAnsi="宋体" w:cs="仿宋"/>
          <w:color w:val="auto"/>
          <w:kern w:val="0"/>
          <w:sz w:val="24"/>
          <w:highlight w:val="none"/>
        </w:rPr>
      </w:pPr>
      <w:r>
        <w:rPr>
          <w:rFonts w:hint="eastAsia" w:ascii="宋体" w:hAnsi="宋体" w:cs="仿宋"/>
          <w:color w:val="auto"/>
          <w:kern w:val="0"/>
          <w:sz w:val="24"/>
          <w:highlight w:val="none"/>
        </w:rPr>
        <w:t>……</w:t>
      </w:r>
    </w:p>
    <w:p>
      <w:pPr>
        <w:autoSpaceDE w:val="0"/>
        <w:autoSpaceDN w:val="0"/>
        <w:adjustRightInd w:val="0"/>
        <w:spacing w:line="360" w:lineRule="auto"/>
        <w:ind w:firstLine="480" w:firstLineChars="200"/>
        <w:jc w:val="left"/>
        <w:rPr>
          <w:rFonts w:ascii="宋体" w:hAnsi="宋体" w:cs="仿宋"/>
          <w:color w:val="auto"/>
          <w:kern w:val="0"/>
          <w:sz w:val="24"/>
          <w:highlight w:val="none"/>
        </w:rPr>
      </w:pPr>
      <w:r>
        <w:rPr>
          <w:rFonts w:hint="eastAsia" w:ascii="宋体" w:hAnsi="宋体" w:cs="仿宋"/>
          <w:color w:val="auto"/>
          <w:kern w:val="0"/>
          <w:sz w:val="24"/>
          <w:highlight w:val="none"/>
        </w:rPr>
        <w:t>以上企业，不属于大企业的分支机构，不存在控股股东为大企业的情形，也不存在与大企业的负责人为同一人的情形。</w:t>
      </w:r>
    </w:p>
    <w:p>
      <w:pPr>
        <w:autoSpaceDE w:val="0"/>
        <w:autoSpaceDN w:val="0"/>
        <w:adjustRightInd w:val="0"/>
        <w:spacing w:line="360" w:lineRule="auto"/>
        <w:ind w:firstLine="480" w:firstLineChars="200"/>
        <w:jc w:val="left"/>
        <w:rPr>
          <w:rFonts w:ascii="宋体" w:hAnsi="宋体" w:cs="仿宋"/>
          <w:color w:val="auto"/>
          <w:kern w:val="0"/>
          <w:sz w:val="24"/>
          <w:highlight w:val="none"/>
        </w:rPr>
      </w:pPr>
      <w:r>
        <w:rPr>
          <w:rFonts w:hint="eastAsia" w:ascii="宋体" w:hAnsi="宋体" w:cs="仿宋"/>
          <w:color w:val="auto"/>
          <w:kern w:val="0"/>
          <w:sz w:val="24"/>
          <w:highlight w:val="none"/>
        </w:rPr>
        <w:t>本企业对上述声明内容的真实性负责。如有虚假，将依法承担相应责任。</w:t>
      </w:r>
    </w:p>
    <w:p>
      <w:pPr>
        <w:autoSpaceDE w:val="0"/>
        <w:autoSpaceDN w:val="0"/>
        <w:adjustRightInd w:val="0"/>
        <w:spacing w:line="360" w:lineRule="auto"/>
        <w:ind w:firstLine="484" w:firstLineChars="202"/>
        <w:jc w:val="left"/>
        <w:rPr>
          <w:rFonts w:ascii="宋体" w:hAnsi="宋体" w:cs="仿宋"/>
          <w:color w:val="auto"/>
          <w:kern w:val="0"/>
          <w:sz w:val="24"/>
          <w:highlight w:val="none"/>
        </w:rPr>
      </w:pPr>
    </w:p>
    <w:p>
      <w:pPr>
        <w:autoSpaceDE w:val="0"/>
        <w:autoSpaceDN w:val="0"/>
        <w:adjustRightInd w:val="0"/>
        <w:spacing w:line="360" w:lineRule="auto"/>
        <w:ind w:firstLine="480" w:firstLineChars="200"/>
        <w:jc w:val="left"/>
        <w:rPr>
          <w:rFonts w:ascii="宋体" w:hAnsi="宋体" w:cs="仿宋"/>
          <w:color w:val="auto"/>
          <w:kern w:val="0"/>
          <w:sz w:val="24"/>
          <w:highlight w:val="none"/>
        </w:rPr>
      </w:pPr>
      <w:r>
        <w:rPr>
          <w:rFonts w:hint="eastAsia" w:ascii="宋体" w:hAnsi="宋体" w:cs="仿宋"/>
          <w:color w:val="auto"/>
          <w:kern w:val="0"/>
          <w:sz w:val="24"/>
          <w:highlight w:val="none"/>
        </w:rPr>
        <w:t>企业名称（盖章）：</w:t>
      </w:r>
    </w:p>
    <w:p>
      <w:pPr>
        <w:autoSpaceDE w:val="0"/>
        <w:autoSpaceDN w:val="0"/>
        <w:adjustRightInd w:val="0"/>
        <w:spacing w:line="360" w:lineRule="auto"/>
        <w:ind w:firstLine="480" w:firstLineChars="200"/>
        <w:jc w:val="left"/>
        <w:rPr>
          <w:rFonts w:ascii="宋体" w:hAnsi="宋体" w:cs="仿宋"/>
          <w:color w:val="auto"/>
          <w:kern w:val="0"/>
          <w:sz w:val="24"/>
          <w:highlight w:val="none"/>
        </w:rPr>
      </w:pPr>
      <w:r>
        <w:rPr>
          <w:rFonts w:hint="eastAsia" w:ascii="宋体" w:hAnsi="宋体" w:cs="仿宋"/>
          <w:color w:val="auto"/>
          <w:kern w:val="0"/>
          <w:sz w:val="24"/>
          <w:highlight w:val="none"/>
        </w:rPr>
        <w:t>日期：</w:t>
      </w:r>
    </w:p>
    <w:p>
      <w:pPr>
        <w:spacing w:line="360" w:lineRule="auto"/>
        <w:ind w:firstLine="405"/>
        <w:jc w:val="left"/>
        <w:rPr>
          <w:rFonts w:ascii="宋体" w:hAnsi="宋体" w:cs="宋体"/>
          <w:color w:val="auto"/>
          <w:kern w:val="0"/>
          <w:szCs w:val="21"/>
          <w:highlight w:val="none"/>
        </w:rPr>
      </w:pPr>
    </w:p>
    <w:p>
      <w:pPr>
        <w:spacing w:line="360" w:lineRule="auto"/>
        <w:ind w:firstLine="405"/>
        <w:jc w:val="left"/>
        <w:rPr>
          <w:rFonts w:ascii="宋体" w:hAnsi="宋体" w:cs="宋体"/>
          <w:color w:val="auto"/>
          <w:kern w:val="0"/>
          <w:szCs w:val="21"/>
          <w:highlight w:val="none"/>
        </w:rPr>
      </w:pPr>
    </w:p>
    <w:p>
      <w:pPr>
        <w:rPr>
          <w:rFonts w:ascii="宋体" w:hAnsi="宋体"/>
          <w:color w:val="auto"/>
          <w:sz w:val="24"/>
          <w:highlight w:val="none"/>
        </w:rPr>
      </w:pPr>
    </w:p>
    <w:p>
      <w:pPr>
        <w:spacing w:line="520" w:lineRule="exact"/>
        <w:ind w:firstLine="480" w:firstLineChars="200"/>
        <w:jc w:val="center"/>
        <w:rPr>
          <w:rFonts w:ascii="仿宋_GB2312" w:hAnsi="仿宋_GB2312" w:eastAsia="仿宋_GB2312" w:cs="仿宋_GB2312"/>
          <w:color w:val="auto"/>
          <w:sz w:val="32"/>
          <w:szCs w:val="32"/>
          <w:highlight w:val="none"/>
        </w:rPr>
      </w:pPr>
      <w:r>
        <w:rPr>
          <w:rFonts w:hint="eastAsia" w:ascii="宋体" w:hAnsi="宋体"/>
          <w:color w:val="auto"/>
          <w:sz w:val="24"/>
          <w:highlight w:val="none"/>
        </w:rPr>
        <w:t>注：请根据国家统计局《统计上大中小微型企业划分办法（2017）》</w:t>
      </w:r>
      <w:r>
        <w:rPr>
          <w:rFonts w:hint="eastAsia" w:ascii="宋体" w:hAnsi="宋体" w:cs="宋体"/>
          <w:color w:val="auto"/>
          <w:sz w:val="24"/>
          <w:highlight w:val="none"/>
        </w:rPr>
        <w:t>及</w:t>
      </w:r>
      <w:r>
        <w:rPr>
          <w:rFonts w:hint="eastAsia" w:ascii="宋体" w:hAnsi="宋体"/>
          <w:color w:val="auto"/>
          <w:sz w:val="24"/>
          <w:highlight w:val="none"/>
        </w:rPr>
        <w:t>自己的真实情况出具《中小企业声明函》。依法享受中小企业优惠政策的，采购人或者采购代理机构在公告成交结果时，同时公告其《中小企业声明函》，接受社会监督。</w:t>
      </w:r>
      <w:r>
        <w:rPr>
          <w:rFonts w:ascii="宋体" w:hAnsi="宋体"/>
          <w:color w:val="auto"/>
          <w:sz w:val="24"/>
          <w:highlight w:val="none"/>
        </w:rPr>
        <w:br w:type="page"/>
      </w:r>
      <w:r>
        <w:rPr>
          <w:rFonts w:hint="eastAsia" w:ascii="方正小标宋简体" w:hAnsi="方正小标宋简体" w:eastAsia="方正小标宋简体" w:cs="方正小标宋简体"/>
          <w:color w:val="auto"/>
          <w:sz w:val="44"/>
          <w:szCs w:val="44"/>
          <w:highlight w:val="none"/>
        </w:rPr>
        <w:t>残疾人福利性单位声明函</w:t>
      </w:r>
    </w:p>
    <w:p>
      <w:pPr>
        <w:spacing w:line="520" w:lineRule="exact"/>
        <w:rPr>
          <w:rFonts w:ascii="仿宋_GB2312" w:hAnsi="仿宋_GB2312" w:eastAsia="仿宋_GB2312" w:cs="仿宋_GB2312"/>
          <w:color w:val="auto"/>
          <w:sz w:val="32"/>
          <w:szCs w:val="32"/>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本单位对上述声明的真实性负责。如有虚假，将依法承担相应责任。</w:t>
      </w: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单位名称（盖章）：</w:t>
      </w: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日  期：</w:t>
      </w: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rPr>
          <w:rFonts w:ascii="宋体" w:hAnsi="宋体" w:cs="仿宋_GB2312"/>
          <w:color w:val="auto"/>
          <w:sz w:val="24"/>
          <w:highlight w:val="none"/>
        </w:rPr>
      </w:pPr>
    </w:p>
    <w:p>
      <w:pPr>
        <w:spacing w:line="360" w:lineRule="auto"/>
        <w:ind w:firstLine="480" w:firstLineChars="200"/>
        <w:rPr>
          <w:rFonts w:ascii="宋体" w:hAnsi="宋体" w:cs="仿宋_GB2312"/>
          <w:color w:val="auto"/>
          <w:sz w:val="24"/>
          <w:highlight w:val="none"/>
        </w:rPr>
      </w:pPr>
      <w:r>
        <w:rPr>
          <w:rFonts w:hint="eastAsia" w:ascii="宋体" w:hAnsi="宋体" w:cs="仿宋_GB2312"/>
          <w:color w:val="auto"/>
          <w:sz w:val="24"/>
          <w:highlight w:val="none"/>
        </w:rPr>
        <w:t>注：请根据自己的真实情况出具《残疾人福利性单位声明函》。依法享受中小企业优惠政策的，采购人或者采购代理机构在公告成交结果时，同时公告其《残疾人福利性单位声明函》，接受社会监督。</w:t>
      </w: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24"/>
        <w:rPr>
          <w:color w:val="auto"/>
          <w:highlight w:val="none"/>
        </w:rPr>
      </w:pPr>
    </w:p>
    <w:p>
      <w:pPr>
        <w:pStyle w:val="3"/>
        <w:ind w:firstLine="723" w:firstLineChars="200"/>
        <w:jc w:val="center"/>
        <w:rPr>
          <w:bCs/>
          <w:color w:val="auto"/>
          <w:szCs w:val="44"/>
          <w:highlight w:val="none"/>
        </w:rPr>
      </w:pPr>
      <w:bookmarkStart w:id="141" w:name="_Toc514340100"/>
      <w:bookmarkStart w:id="142" w:name="_Toc21816"/>
      <w:r>
        <w:rPr>
          <w:rFonts w:hint="eastAsia"/>
          <w:color w:val="auto"/>
          <w:sz w:val="36"/>
          <w:szCs w:val="36"/>
          <w:highlight w:val="none"/>
        </w:rPr>
        <w:t>第六章</w:t>
      </w:r>
      <w:bookmarkEnd w:id="141"/>
      <w:r>
        <w:rPr>
          <w:rFonts w:hint="eastAsia"/>
          <w:color w:val="auto"/>
          <w:sz w:val="36"/>
          <w:szCs w:val="36"/>
          <w:highlight w:val="none"/>
          <w:lang w:val="en-US" w:eastAsia="zh-CN"/>
        </w:rPr>
        <w:t xml:space="preserve"> </w:t>
      </w:r>
      <w:r>
        <w:rPr>
          <w:rFonts w:hint="eastAsia"/>
          <w:color w:val="auto"/>
          <w:sz w:val="36"/>
          <w:szCs w:val="36"/>
          <w:highlight w:val="none"/>
        </w:rPr>
        <w:t>拟定的合同文本</w:t>
      </w:r>
      <w:bookmarkEnd w:id="142"/>
    </w:p>
    <w:p>
      <w:pPr>
        <w:pStyle w:val="4"/>
        <w:ind w:firstLine="422" w:firstLineChars="200"/>
        <w:jc w:val="left"/>
        <w:rPr>
          <w:rFonts w:ascii="宋体"/>
          <w:color w:val="auto"/>
          <w:sz w:val="21"/>
          <w:szCs w:val="21"/>
          <w:highlight w:val="none"/>
        </w:rPr>
      </w:pPr>
      <w:r>
        <w:rPr>
          <w:rFonts w:hint="eastAsia" w:ascii="宋体" w:hAnsi="宋体"/>
          <w:color w:val="auto"/>
          <w:sz w:val="21"/>
          <w:szCs w:val="21"/>
          <w:highlight w:val="none"/>
        </w:rPr>
        <w:t>说明：</w:t>
      </w:r>
    </w:p>
    <w:p>
      <w:pPr>
        <w:numPr>
          <w:ilvl w:val="0"/>
          <w:numId w:val="2"/>
        </w:numPr>
        <w:spacing w:line="360" w:lineRule="exact"/>
        <w:ind w:firstLine="422" w:firstLineChars="200"/>
        <w:jc w:val="left"/>
        <w:rPr>
          <w:rFonts w:ascii="宋体"/>
          <w:b/>
          <w:color w:val="auto"/>
          <w:szCs w:val="21"/>
          <w:highlight w:val="none"/>
        </w:rPr>
      </w:pPr>
      <w:r>
        <w:rPr>
          <w:rFonts w:hint="eastAsia" w:ascii="宋体" w:hAnsi="宋体"/>
          <w:b/>
          <w:color w:val="auto"/>
          <w:szCs w:val="21"/>
          <w:highlight w:val="none"/>
        </w:rPr>
        <w:t>正式合同书应包括此参考格式的内容。</w:t>
      </w:r>
    </w:p>
    <w:p>
      <w:pPr>
        <w:numPr>
          <w:ilvl w:val="0"/>
          <w:numId w:val="2"/>
        </w:numPr>
        <w:spacing w:line="360" w:lineRule="exact"/>
        <w:ind w:firstLine="422" w:firstLineChars="200"/>
        <w:jc w:val="left"/>
        <w:rPr>
          <w:rFonts w:ascii="宋体"/>
          <w:b/>
          <w:color w:val="auto"/>
          <w:szCs w:val="21"/>
          <w:highlight w:val="none"/>
        </w:rPr>
      </w:pPr>
      <w:r>
        <w:rPr>
          <w:rFonts w:hint="eastAsia" w:ascii="宋体" w:hAnsi="宋体"/>
          <w:b/>
          <w:color w:val="auto"/>
          <w:szCs w:val="21"/>
          <w:highlight w:val="none"/>
        </w:rPr>
        <w:t>合同签订双方可根据项目的具体要求进行修订，但合同条款不得与采购文件和成交供应商响应文件有实质性偏离。</w:t>
      </w:r>
    </w:p>
    <w:p>
      <w:pPr>
        <w:spacing w:line="360" w:lineRule="exact"/>
        <w:jc w:val="center"/>
        <w:rPr>
          <w:rFonts w:ascii="宋体" w:hAnsi="Courier New" w:cs="Courier New"/>
          <w:b/>
          <w:color w:val="auto"/>
          <w:sz w:val="32"/>
          <w:szCs w:val="21"/>
          <w:highlight w:val="none"/>
        </w:rPr>
      </w:pPr>
    </w:p>
    <w:p>
      <w:pPr>
        <w:spacing w:line="520" w:lineRule="exact"/>
        <w:rPr>
          <w:rFonts w:hint="eastAsia" w:ascii="宋体" w:hAnsi="宋体" w:eastAsia="宋体" w:cs="宋体"/>
          <w:b/>
          <w:color w:val="auto"/>
          <w:sz w:val="32"/>
          <w:szCs w:val="32"/>
          <w:highlight w:val="none"/>
        </w:rPr>
      </w:pPr>
    </w:p>
    <w:p>
      <w:pPr>
        <w:spacing w:line="520" w:lineRule="exact"/>
        <w:rPr>
          <w:rFonts w:hint="eastAsia" w:ascii="宋体" w:hAnsi="宋体" w:eastAsia="宋体" w:cs="宋体"/>
          <w:b/>
          <w:color w:val="auto"/>
          <w:sz w:val="32"/>
          <w:szCs w:val="32"/>
          <w:highlight w:val="none"/>
        </w:rPr>
      </w:pPr>
    </w:p>
    <w:p>
      <w:pPr>
        <w:spacing w:line="360" w:lineRule="auto"/>
        <w:ind w:right="800" w:firstLine="420" w:firstLineChars="200"/>
        <w:rPr>
          <w:rFonts w:hint="eastAsia" w:ascii="宋体" w:hAnsi="宋体" w:eastAsia="宋体" w:cs="宋体"/>
          <w:color w:val="auto"/>
          <w:szCs w:val="21"/>
          <w:highlight w:val="none"/>
          <w:u w:val="single"/>
        </w:rPr>
      </w:pPr>
      <w:r>
        <w:rPr>
          <w:rFonts w:hint="eastAsia" w:ascii="宋体" w:hAnsi="宋体" w:eastAsia="宋体" w:cs="宋体"/>
          <w:bCs/>
          <w:color w:val="auto"/>
          <w:szCs w:val="21"/>
          <w:highlight w:val="none"/>
        </w:rPr>
        <w:t>合同编号：</w:t>
      </w:r>
      <w:r>
        <w:rPr>
          <w:rFonts w:hint="eastAsia" w:ascii="宋体" w:hAnsi="宋体" w:eastAsia="宋体" w:cs="宋体"/>
          <w:color w:val="auto"/>
          <w:szCs w:val="21"/>
          <w:highlight w:val="none"/>
          <w:u w:val="single"/>
        </w:rPr>
        <w:t xml:space="preserve">               </w:t>
      </w:r>
    </w:p>
    <w:p>
      <w:pPr>
        <w:spacing w:line="360" w:lineRule="auto"/>
        <w:ind w:right="80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采购计划号：</w:t>
      </w:r>
      <w:r>
        <w:rPr>
          <w:rFonts w:hint="eastAsia" w:ascii="宋体" w:hAnsi="宋体" w:eastAsia="宋体" w:cs="宋体"/>
          <w:color w:val="auto"/>
          <w:szCs w:val="21"/>
          <w:highlight w:val="none"/>
          <w:u w:val="singl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采购人（甲方）：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cs="宋体"/>
          <w:color w:val="auto"/>
          <w:szCs w:val="21"/>
          <w:highlight w:val="none"/>
          <w:lang w:eastAsia="zh-CN"/>
        </w:rPr>
        <w:t>成交供应商</w:t>
      </w:r>
      <w:r>
        <w:rPr>
          <w:rFonts w:hint="eastAsia" w:ascii="宋体" w:hAnsi="宋体" w:eastAsia="宋体" w:cs="宋体"/>
          <w:color w:val="auto"/>
          <w:szCs w:val="21"/>
          <w:highlight w:val="none"/>
        </w:rPr>
        <w:t>（乙方）：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p>
    <w:p>
      <w:pPr>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签订地点：</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none"/>
          <w:lang w:val="en-US" w:eastAsia="zh-CN"/>
        </w:rPr>
        <w:t xml:space="preserve"> </w:t>
      </w:r>
      <w:r>
        <w:rPr>
          <w:rFonts w:hint="eastAsia" w:ascii="宋体" w:hAnsi="宋体" w:cs="宋体"/>
          <w:color w:val="auto"/>
          <w:szCs w:val="21"/>
          <w:highlight w:val="none"/>
          <w:u w:val="none"/>
          <w:lang w:val="en-US" w:eastAsia="zh-CN"/>
        </w:rPr>
        <w:t xml:space="preserve">                   </w:t>
      </w:r>
      <w:r>
        <w:rPr>
          <w:rFonts w:hint="eastAsia" w:ascii="宋体" w:hAnsi="宋体" w:eastAsia="宋体" w:cs="宋体"/>
          <w:color w:val="auto"/>
          <w:szCs w:val="21"/>
          <w:highlight w:val="none"/>
        </w:rPr>
        <w:t>签订时间：</w:t>
      </w:r>
      <w:r>
        <w:rPr>
          <w:rFonts w:hint="eastAsia" w:ascii="宋体" w:hAnsi="宋体" w:eastAsia="宋体" w:cs="宋体"/>
          <w:color w:val="auto"/>
          <w:szCs w:val="21"/>
          <w:highlight w:val="none"/>
          <w:u w:val="single"/>
        </w:rPr>
        <w:t xml:space="preserve">               </w:t>
      </w:r>
    </w:p>
    <w:p>
      <w:pPr>
        <w:spacing w:line="360" w:lineRule="auto"/>
        <w:rPr>
          <w:rFonts w:hint="eastAsia" w:ascii="宋体" w:hAnsi="宋体" w:cs="宋体"/>
          <w:color w:val="auto"/>
          <w:szCs w:val="21"/>
          <w:highlight w:val="none"/>
          <w:u w:val="single"/>
        </w:rPr>
      </w:pPr>
    </w:p>
    <w:p>
      <w:pPr>
        <w:spacing w:line="360" w:lineRule="auto"/>
        <w:ind w:firstLine="420" w:firstLineChars="200"/>
        <w:rPr>
          <w:rFonts w:hint="eastAsia" w:ascii="宋体" w:hAnsi="宋体" w:cs="宋体"/>
          <w:color w:val="auto"/>
          <w:szCs w:val="21"/>
          <w:highlight w:val="none"/>
        </w:rPr>
      </w:pP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根据《中华人民共和国政府采购法》、《中华人民共和国</w:t>
      </w:r>
      <w:r>
        <w:rPr>
          <w:rFonts w:hint="eastAsia" w:ascii="宋体" w:hAnsi="宋体" w:cs="宋体"/>
          <w:color w:val="auto"/>
          <w:szCs w:val="21"/>
          <w:highlight w:val="none"/>
          <w:lang w:eastAsia="zh-CN"/>
        </w:rPr>
        <w:t>民法典</w:t>
      </w:r>
      <w:r>
        <w:rPr>
          <w:rFonts w:hint="eastAsia" w:ascii="宋体" w:hAnsi="宋体" w:cs="宋体"/>
          <w:color w:val="auto"/>
          <w:szCs w:val="21"/>
          <w:highlight w:val="none"/>
        </w:rPr>
        <w:t>》等法律、法规规定，按照</w:t>
      </w:r>
      <w:r>
        <w:rPr>
          <w:rFonts w:hint="eastAsia" w:ascii="宋体" w:hAnsi="宋体" w:cs="宋体"/>
          <w:color w:val="auto"/>
          <w:szCs w:val="21"/>
          <w:highlight w:val="none"/>
          <w:lang w:val="en-US" w:eastAsia="zh-CN"/>
        </w:rPr>
        <w:t>竞争性</w:t>
      </w:r>
      <w:r>
        <w:rPr>
          <w:rFonts w:hint="eastAsia" w:ascii="宋体" w:hAnsi="宋体"/>
          <w:color w:val="auto"/>
          <w:szCs w:val="21"/>
          <w:highlight w:val="none"/>
        </w:rPr>
        <w:t>磋商文件规定条款和乙方响应文件及其承诺，甲乙双方签订本合同。</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第一条　合同标的</w:t>
      </w:r>
    </w:p>
    <w:p>
      <w:pPr>
        <w:spacing w:line="360" w:lineRule="auto"/>
        <w:ind w:firstLine="420" w:firstLineChars="200"/>
        <w:rPr>
          <w:rFonts w:hint="eastAsia" w:ascii="宋体" w:hAnsi="宋体" w:cs="宋体"/>
          <w:color w:val="auto"/>
          <w:szCs w:val="21"/>
          <w:highlight w:val="none"/>
        </w:rPr>
      </w:pPr>
      <w:r>
        <w:rPr>
          <w:rFonts w:hint="eastAsia" w:ascii="宋体" w:hAnsi="宋体" w:eastAsia="宋体" w:cs="宋体"/>
          <w:color w:val="auto"/>
          <w:szCs w:val="21"/>
          <w:highlight w:val="none"/>
          <w:lang w:val="en-US" w:eastAsia="zh-CN"/>
        </w:rPr>
        <w:t>1.合同总金额：</w:t>
      </w:r>
      <w:r>
        <w:rPr>
          <w:rFonts w:hint="eastAsia" w:ascii="宋体" w:hAnsi="宋体" w:eastAsia="宋体" w:cs="宋体"/>
          <w:color w:val="auto"/>
          <w:szCs w:val="21"/>
          <w:highlight w:val="none"/>
          <w:u w:val="single"/>
          <w:lang w:val="en-US" w:eastAsia="zh-CN"/>
        </w:rPr>
        <w:t xml:space="preserve">                          。</w:t>
      </w:r>
    </w:p>
    <w:p>
      <w:pPr>
        <w:spacing w:line="360" w:lineRule="auto"/>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lang w:eastAsia="zh-CN"/>
        </w:rPr>
        <w:t>服务内容</w:t>
      </w:r>
      <w:r>
        <w:rPr>
          <w:rFonts w:hint="eastAsia" w:ascii="宋体" w:hAnsi="宋体" w:eastAsia="宋体" w:cs="宋体"/>
          <w:color w:val="auto"/>
          <w:szCs w:val="21"/>
          <w:highlight w:val="none"/>
        </w:rPr>
        <w:t>一览表</w:t>
      </w:r>
      <w:r>
        <w:rPr>
          <w:rFonts w:hint="eastAsia" w:ascii="宋体" w:hAnsi="宋体" w:eastAsia="宋体" w:cs="宋体"/>
          <w:color w:val="auto"/>
          <w:szCs w:val="21"/>
          <w:highlight w:val="none"/>
          <w:lang w:eastAsia="zh-CN"/>
        </w:rPr>
        <w:t>（详见附件中的响应报价表）</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8"/>
        <w:gridCol w:w="989"/>
        <w:gridCol w:w="782"/>
        <w:gridCol w:w="782"/>
        <w:gridCol w:w="782"/>
        <w:gridCol w:w="782"/>
        <w:gridCol w:w="782"/>
        <w:gridCol w:w="786"/>
        <w:gridCol w:w="115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序号</w:t>
            </w:r>
          </w:p>
        </w:tc>
        <w:tc>
          <w:tcPr>
            <w:tcW w:w="119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服务项目</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培训</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对象</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培训</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人数</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培训</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地点</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培训完成时间</w:t>
            </w: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培训</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方式</w:t>
            </w: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培训</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天数</w:t>
            </w:r>
          </w:p>
        </w:tc>
        <w:tc>
          <w:tcPr>
            <w:tcW w:w="12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人均单价</w:t>
            </w:r>
            <w:r>
              <w:rPr>
                <w:rFonts w:hint="eastAsia" w:ascii="宋体" w:hAnsi="宋体" w:eastAsia="宋体" w:cs="宋体"/>
                <w:color w:val="auto"/>
                <w:sz w:val="21"/>
                <w:szCs w:val="21"/>
                <w:vertAlign w:val="baseline"/>
                <w:lang w:val="en-US" w:eastAsia="zh-CN"/>
              </w:rPr>
              <w:t>/天（元）</w:t>
            </w:r>
          </w:p>
        </w:tc>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单价合计（元）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1</w:t>
            </w:r>
          </w:p>
        </w:tc>
        <w:tc>
          <w:tcPr>
            <w:tcW w:w="119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12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2</w:t>
            </w:r>
          </w:p>
        </w:tc>
        <w:tc>
          <w:tcPr>
            <w:tcW w:w="119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12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eastAsia="宋体" w:cs="宋体"/>
                <w:color w:val="auto"/>
                <w:sz w:val="21"/>
                <w:szCs w:val="21"/>
                <w:vertAlign w:val="baseline"/>
                <w:lang w:val="en-US" w:eastAsia="zh-CN"/>
              </w:rPr>
            </w:pPr>
            <w:r>
              <w:rPr>
                <w:rFonts w:hint="eastAsia" w:ascii="宋体" w:hAnsi="宋体" w:eastAsia="宋体" w:cs="宋体"/>
                <w:color w:val="auto"/>
                <w:sz w:val="21"/>
                <w:szCs w:val="21"/>
                <w:vertAlign w:val="baseline"/>
                <w:lang w:val="en-US" w:eastAsia="zh-CN"/>
              </w:rPr>
              <w:t>...</w:t>
            </w:r>
          </w:p>
        </w:tc>
        <w:tc>
          <w:tcPr>
            <w:tcW w:w="119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91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126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c>
          <w:tcPr>
            <w:tcW w:w="106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2"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合计金额</w:t>
            </w:r>
          </w:p>
        </w:tc>
        <w:tc>
          <w:tcPr>
            <w:tcW w:w="8996" w:type="dxa"/>
            <w:gridSpan w:val="9"/>
            <w:noWrap w:val="0"/>
            <w:vAlign w:val="center"/>
          </w:tcPr>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auto"/>
                <w:sz w:val="21"/>
                <w:szCs w:val="21"/>
                <w:vertAlign w:val="baseline"/>
                <w:lang w:eastAsia="zh-CN"/>
              </w:rPr>
            </w:pPr>
            <w:r>
              <w:rPr>
                <w:rFonts w:hint="eastAsia" w:ascii="宋体" w:hAnsi="宋体" w:eastAsia="宋体" w:cs="宋体"/>
                <w:color w:val="auto"/>
                <w:sz w:val="21"/>
                <w:szCs w:val="21"/>
                <w:vertAlign w:val="baseline"/>
                <w:lang w:eastAsia="zh-CN"/>
              </w:rPr>
              <w:t>大写：人民币</w:t>
            </w:r>
            <w:r>
              <w:rPr>
                <w:rFonts w:hint="eastAsia" w:ascii="宋体" w:hAnsi="宋体" w:eastAsia="宋体" w:cs="宋体"/>
                <w:color w:val="auto"/>
                <w:sz w:val="21"/>
                <w:szCs w:val="21"/>
                <w:vertAlign w:val="baseline"/>
                <w:lang w:val="en-US" w:eastAsia="zh-CN"/>
              </w:rPr>
              <w:t xml:space="preserve">    </w:t>
            </w:r>
            <w:r>
              <w:rPr>
                <w:rFonts w:hint="default" w:ascii="宋体" w:hAnsi="宋体" w:eastAsia="宋体" w:cs="宋体"/>
                <w:color w:val="auto"/>
                <w:sz w:val="21"/>
                <w:szCs w:val="21"/>
                <w:vertAlign w:val="baseline"/>
                <w:lang w:val="en-US" w:eastAsia="zh-CN"/>
              </w:rPr>
              <w:t xml:space="preserve"> </w:t>
            </w:r>
            <w:r>
              <w:rPr>
                <w:rFonts w:hint="eastAsia" w:ascii="宋体" w:hAnsi="宋体" w:eastAsia="宋体" w:cs="宋体"/>
                <w:color w:val="auto"/>
                <w:sz w:val="21"/>
                <w:szCs w:val="21"/>
                <w:vertAlign w:val="baseline"/>
                <w:lang w:val="en-US" w:eastAsia="zh-CN"/>
              </w:rPr>
              <w:t xml:space="preserve">              </w:t>
            </w:r>
            <w:r>
              <w:rPr>
                <w:rFonts w:hint="default" w:ascii="宋体" w:hAnsi="宋体" w:eastAsia="宋体" w:cs="宋体"/>
                <w:color w:val="auto"/>
                <w:sz w:val="21"/>
                <w:szCs w:val="21"/>
                <w:vertAlign w:val="baseline"/>
                <w:lang w:val="en-US" w:eastAsia="zh-CN"/>
              </w:rPr>
              <w:t xml:space="preserve">      </w:t>
            </w:r>
            <w:r>
              <w:rPr>
                <w:rFonts w:hint="eastAsia" w:ascii="宋体" w:hAnsi="宋体" w:eastAsia="宋体" w:cs="宋体"/>
                <w:color w:val="auto"/>
                <w:sz w:val="21"/>
                <w:szCs w:val="21"/>
                <w:vertAlign w:val="baseline"/>
                <w:lang w:val="en-US" w:eastAsia="zh-CN"/>
              </w:rPr>
              <w:t xml:space="preserve">                               </w:t>
            </w:r>
            <w:r>
              <w:rPr>
                <w:rFonts w:hint="eastAsia" w:ascii="宋体" w:hAnsi="宋体" w:eastAsia="宋体" w:cs="宋体"/>
                <w:color w:val="auto"/>
                <w:sz w:val="21"/>
                <w:szCs w:val="21"/>
                <w:vertAlign w:val="baseline"/>
                <w:lang w:eastAsia="zh-CN"/>
              </w:rPr>
              <w:t>（￥</w:t>
            </w:r>
            <w:r>
              <w:rPr>
                <w:rFonts w:hint="eastAsia" w:ascii="宋体" w:hAnsi="宋体" w:eastAsia="宋体" w:cs="宋体"/>
                <w:color w:val="auto"/>
                <w:sz w:val="21"/>
                <w:szCs w:val="21"/>
                <w:vertAlign w:val="baseline"/>
                <w:lang w:val="en-US" w:eastAsia="zh-CN"/>
              </w:rPr>
              <w:t xml:space="preserve">      </w:t>
            </w:r>
            <w:r>
              <w:rPr>
                <w:rFonts w:hint="eastAsia" w:ascii="宋体" w:hAnsi="宋体" w:eastAsia="宋体" w:cs="宋体"/>
                <w:color w:val="auto"/>
                <w:sz w:val="21"/>
                <w:szCs w:val="21"/>
                <w:vertAlign w:val="baseline"/>
                <w:lang w:eastAsia="zh-CN"/>
              </w:rPr>
              <w:t>）</w:t>
            </w:r>
          </w:p>
        </w:tc>
      </w:tr>
    </w:tbl>
    <w:p>
      <w:pPr>
        <w:pStyle w:val="2"/>
        <w:rPr>
          <w:rFonts w:hint="eastAsia"/>
          <w:color w:val="auto"/>
          <w:lang w:eastAsia="zh-CN"/>
        </w:rPr>
      </w:pPr>
    </w:p>
    <w:p>
      <w:pPr>
        <w:spacing w:line="360" w:lineRule="auto"/>
        <w:ind w:firstLine="420" w:firstLineChars="200"/>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szCs w:val="21"/>
          <w:highlight w:val="none"/>
          <w:lang w:val="en-US" w:eastAsia="zh-CN"/>
        </w:rPr>
        <w:t>3.</w:t>
      </w:r>
      <w:r>
        <w:rPr>
          <w:rFonts w:hint="eastAsia" w:ascii="宋体" w:hAnsi="宋体" w:eastAsia="宋体" w:cs="宋体"/>
          <w:b w:val="0"/>
          <w:bCs w:val="0"/>
          <w:color w:val="auto"/>
          <w:kern w:val="2"/>
          <w:sz w:val="21"/>
          <w:szCs w:val="21"/>
          <w:highlight w:val="none"/>
          <w:lang w:val="en-US" w:eastAsia="zh-CN" w:bidi="ar-SA"/>
        </w:rPr>
        <w:t>合同总金额包含满足本次竞标全部采购需求所应提供的服务，包括项目实施的全部学员的住宿费、伙食费、培训专家费、培训场地费、培训设备费、培训资料费、交通费、劳务费、现场教学、必要的保险费用和各项税金等完成本项目服务内容所需要的其他一切费用。对于本文件中未列明，而供应商认为必需的费用也需列入总报价。在合同实施时，采购人将不予支付成交供应商没有列入的项目费用，并认为此项目的费用已包括在合同总金额中。如竞争性磋商文件对其另有规定的，从其规定。</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第二条　质量保证</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乙方所提供的服务及服务内容必须与响应文件承诺相一致，有国家强制性标准的，还必须符合国家强制性标准的规定，没有国家强制性标准但有</w:t>
      </w:r>
      <w:r>
        <w:rPr>
          <w:rFonts w:hint="eastAsia" w:ascii="宋体" w:hAnsi="宋体" w:cs="宋体"/>
          <w:color w:val="auto"/>
          <w:szCs w:val="21"/>
          <w:highlight w:val="none"/>
          <w:lang w:eastAsia="zh-CN"/>
        </w:rPr>
        <w:t>其他</w:t>
      </w:r>
      <w:r>
        <w:rPr>
          <w:rFonts w:hint="eastAsia" w:ascii="宋体" w:hAnsi="宋体" w:cs="宋体"/>
          <w:color w:val="auto"/>
          <w:szCs w:val="21"/>
          <w:highlight w:val="none"/>
        </w:rPr>
        <w:t>强制性标准的，必须符合</w:t>
      </w:r>
      <w:r>
        <w:rPr>
          <w:rFonts w:hint="eastAsia" w:ascii="宋体" w:hAnsi="宋体" w:cs="宋体"/>
          <w:color w:val="auto"/>
          <w:szCs w:val="21"/>
          <w:highlight w:val="none"/>
          <w:lang w:eastAsia="zh-CN"/>
        </w:rPr>
        <w:t>其他</w:t>
      </w:r>
      <w:r>
        <w:rPr>
          <w:rFonts w:hint="eastAsia" w:ascii="宋体" w:hAnsi="宋体" w:cs="宋体"/>
          <w:color w:val="auto"/>
          <w:szCs w:val="21"/>
          <w:highlight w:val="none"/>
        </w:rPr>
        <w:t>强制性标准的规定。</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第三条　权利保证</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乙方应保证所提供服务在使用时不会侵犯任何第三方的专利权、商标权、工业设计权等知识产权及</w:t>
      </w:r>
      <w:r>
        <w:rPr>
          <w:rFonts w:hint="eastAsia" w:ascii="宋体" w:hAnsi="宋体" w:cs="宋体"/>
          <w:color w:val="auto"/>
          <w:szCs w:val="21"/>
          <w:highlight w:val="none"/>
          <w:lang w:eastAsia="zh-CN"/>
        </w:rPr>
        <w:t>其他</w:t>
      </w:r>
      <w:r>
        <w:rPr>
          <w:rFonts w:hint="eastAsia" w:ascii="宋体" w:hAnsi="宋体" w:cs="宋体"/>
          <w:color w:val="auto"/>
          <w:szCs w:val="21"/>
          <w:highlight w:val="none"/>
        </w:rPr>
        <w:t>合法权利，且所有权、处分权等没有受到任何限制。</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没有甲方事先书面同意，乙方不得将由甲方提供的有关合同或者任何合同条文、规格、计划、图纸、样品或者资料提供给与履行本合同无关的任何</w:t>
      </w:r>
      <w:r>
        <w:rPr>
          <w:rFonts w:hint="eastAsia" w:ascii="宋体" w:hAnsi="宋体" w:cs="宋体"/>
          <w:color w:val="auto"/>
          <w:szCs w:val="21"/>
          <w:highlight w:val="none"/>
          <w:lang w:eastAsia="zh-CN"/>
        </w:rPr>
        <w:t>其他</w:t>
      </w:r>
      <w:r>
        <w:rPr>
          <w:rFonts w:hint="eastAsia" w:ascii="宋体" w:hAnsi="宋体" w:cs="宋体"/>
          <w:color w:val="auto"/>
          <w:szCs w:val="21"/>
          <w:highlight w:val="none"/>
        </w:rPr>
        <w:t>人。即使向履行本合同有关的人员提供，也应注意保密并限于履行合同的必需范围。乙方的保密义务持续有效，不因为本合同履行终止、解除或者无效而解除。</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第四条　交付和验收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服务期限：</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u w:val="single"/>
        </w:rPr>
        <w:t>起至</w:t>
      </w:r>
      <w:r>
        <w:rPr>
          <w:rFonts w:ascii="宋体" w:hAnsi="宋体" w:cs="宋体"/>
          <w:color w:val="auto"/>
          <w:szCs w:val="21"/>
          <w:highlight w:val="none"/>
          <w:u w:val="single"/>
        </w:rPr>
        <w:t xml:space="preserve">              </w:t>
      </w:r>
      <w:r>
        <w:rPr>
          <w:rFonts w:hint="eastAsia" w:ascii="宋体" w:hAnsi="宋体" w:cs="宋体"/>
          <w:color w:val="auto"/>
          <w:szCs w:val="21"/>
          <w:highlight w:val="none"/>
        </w:rPr>
        <w:t>，服务地点：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乙方应按响应文件的承诺向甲方提供相应的服务，并提供所服务内容的相关技术资料。</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乙方提供不符合响应文件和本合同规定的服务成果，甲方有权拒绝接受。</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w:t>
      </w:r>
      <w:r>
        <w:rPr>
          <w:rFonts w:hint="eastAsia" w:ascii="宋体" w:hAnsi="宋体"/>
          <w:color w:val="auto"/>
          <w:szCs w:val="21"/>
          <w:highlight w:val="none"/>
        </w:rPr>
        <w:t>乙方完成服务后应及时书面通知甲方进行验收，甲方应在收到通知后</w:t>
      </w:r>
      <w:r>
        <w:rPr>
          <w:rFonts w:hint="eastAsia" w:ascii="宋体" w:hAnsi="宋体"/>
          <w:color w:val="auto"/>
          <w:szCs w:val="21"/>
          <w:highlight w:val="none"/>
          <w:lang w:eastAsia="zh-CN"/>
        </w:rPr>
        <w:t>五</w:t>
      </w:r>
      <w:r>
        <w:rPr>
          <w:rFonts w:hint="eastAsia" w:ascii="宋体" w:hAnsi="宋体"/>
          <w:color w:val="auto"/>
          <w:szCs w:val="21"/>
          <w:highlight w:val="none"/>
        </w:rPr>
        <w:t>个工作日内进行验收，逾期不开始验收的，乙方可视同验收合格。验收合格后由甲乙双方签署验收单并加盖</w:t>
      </w:r>
      <w:r>
        <w:rPr>
          <w:rFonts w:hint="eastAsia" w:ascii="宋体" w:hAnsi="宋体"/>
          <w:color w:val="auto"/>
          <w:szCs w:val="21"/>
          <w:highlight w:val="none"/>
          <w:lang w:eastAsia="zh-CN"/>
        </w:rPr>
        <w:t>甲方</w:t>
      </w:r>
      <w:r>
        <w:rPr>
          <w:rFonts w:hint="eastAsia" w:ascii="宋体" w:hAnsi="宋体"/>
          <w:color w:val="auto"/>
          <w:szCs w:val="21"/>
          <w:highlight w:val="none"/>
        </w:rPr>
        <w:t>公章，甲乙双方各执一份。</w:t>
      </w:r>
    </w:p>
    <w:p>
      <w:pPr>
        <w:spacing w:line="360" w:lineRule="auto"/>
        <w:ind w:firstLine="420" w:firstLineChars="200"/>
        <w:rPr>
          <w:rFonts w:hint="eastAsia" w:ascii="宋体" w:hAnsi="宋体"/>
          <w:color w:val="auto"/>
          <w:szCs w:val="21"/>
          <w:highlight w:val="none"/>
        </w:rPr>
      </w:pPr>
      <w:r>
        <w:rPr>
          <w:rFonts w:hint="eastAsia" w:ascii="宋体" w:hAnsi="宋体" w:cs="宋体"/>
          <w:color w:val="auto"/>
          <w:szCs w:val="21"/>
          <w:highlight w:val="none"/>
        </w:rPr>
        <w:t>5</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甲乙双方应按照《</w:t>
      </w:r>
      <w:r>
        <w:rPr>
          <w:rFonts w:ascii="宋体" w:hAnsi="宋体" w:cs="宋体"/>
          <w:color w:val="auto"/>
          <w:szCs w:val="21"/>
          <w:highlight w:val="none"/>
        </w:rPr>
        <w:t>广西壮族自治区政府采购项目履约验收管理办法</w:t>
      </w:r>
      <w:r>
        <w:rPr>
          <w:rFonts w:hint="eastAsia" w:ascii="宋体" w:hAnsi="宋体" w:cs="宋体"/>
          <w:color w:val="auto"/>
          <w:szCs w:val="21"/>
          <w:highlight w:val="none"/>
        </w:rPr>
        <w:t>》、双方合同、响应文件验收。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甲方在初步验收或者最终验收过程中如发现乙方提供的服务成果不满足响应文件及本合同规定的，可暂缓向乙方付款，直到乙方及时完善并提交相应的服务成果且经甲方验收合格后，方可办理付款。</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甲方验收时以书面形式提出异议的，乙方应自收到甲方书面异议后五个工作日内及时予以解决，否则甲方有权不出具服务验收合格单。</w:t>
      </w:r>
    </w:p>
    <w:p>
      <w:p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第五条  售后服务及培训</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乙方应按照国家有关法律法规和本合同所附的《售后服务承诺》要求为甲方提供相应的售后服务。</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甲方应提供必要测试条件（如场地、电源、水源等）。</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乙方负责甲方有关人员的培训。培训时间、地点：</w:t>
      </w:r>
      <w:r>
        <w:rPr>
          <w:rFonts w:hint="eastAsia" w:ascii="宋体" w:hAnsi="宋体" w:cs="宋体"/>
          <w:color w:val="auto"/>
          <w:szCs w:val="21"/>
          <w:highlight w:val="none"/>
          <w:u w:val="single"/>
        </w:rPr>
        <w:t xml:space="preserve"> </w:t>
      </w:r>
      <w:r>
        <w:rPr>
          <w:rFonts w:ascii="宋体" w:hAnsi="宋体" w:cs="宋体"/>
          <w:color w:val="auto"/>
          <w:szCs w:val="21"/>
          <w:highlight w:val="none"/>
          <w:u w:val="single"/>
        </w:rPr>
        <w:t xml:space="preserve">                   </w:t>
      </w:r>
      <w:r>
        <w:rPr>
          <w:rFonts w:hint="eastAsia" w:ascii="宋体" w:hAnsi="宋体" w:cs="宋体"/>
          <w:color w:val="auto"/>
          <w:szCs w:val="21"/>
          <w:highlight w:val="none"/>
        </w:rPr>
        <w:t>。</w:t>
      </w:r>
    </w:p>
    <w:p>
      <w:pPr>
        <w:spacing w:line="360" w:lineRule="auto"/>
        <w:ind w:firstLine="422" w:firstLineChars="200"/>
        <w:rPr>
          <w:rFonts w:hint="eastAsia" w:ascii="宋体" w:hAnsi="宋体" w:eastAsia="宋体" w:cs="宋体"/>
          <w:color w:val="auto"/>
          <w:szCs w:val="21"/>
          <w:highlight w:val="none"/>
          <w:lang w:val="en-US" w:eastAsia="zh-CN"/>
        </w:rPr>
      </w:pPr>
      <w:r>
        <w:rPr>
          <w:rFonts w:hint="eastAsia" w:ascii="宋体" w:hAnsi="宋体" w:cs="宋体"/>
          <w:b/>
          <w:color w:val="auto"/>
          <w:szCs w:val="21"/>
          <w:highlight w:val="none"/>
        </w:rPr>
        <w:t>第六条　付款方式</w:t>
      </w:r>
      <w:r>
        <w:rPr>
          <w:rFonts w:hint="eastAsia"/>
          <w:color w:val="auto"/>
          <w:lang w:eastAsia="zh-CN"/>
        </w:rPr>
        <w:t>：</w:t>
      </w:r>
      <w:r>
        <w:rPr>
          <w:rFonts w:hint="eastAsia" w:ascii="宋体" w:hAnsi="宋体" w:eastAsia="宋体" w:cs="宋体"/>
          <w:color w:val="auto"/>
          <w:sz w:val="21"/>
          <w:szCs w:val="21"/>
          <w:highlight w:val="none"/>
          <w:lang w:val="en-US" w:eastAsia="zh-CN"/>
        </w:rPr>
        <w:t>合同签定后</w:t>
      </w:r>
      <w:r>
        <w:rPr>
          <w:rFonts w:hint="eastAsia" w:ascii="宋体" w:hAnsi="宋体" w:eastAsia="宋体" w:cs="Times New Roman"/>
          <w:b w:val="0"/>
          <w:bCs w:val="0"/>
          <w:color w:val="auto"/>
          <w:highlight w:val="none"/>
          <w:vertAlign w:val="baseline"/>
          <w:lang w:val="en-US" w:eastAsia="zh-CN"/>
        </w:rPr>
        <w:t>10个工作日内乙方</w:t>
      </w:r>
      <w:r>
        <w:rPr>
          <w:rFonts w:hint="eastAsia" w:ascii="宋体" w:hAnsi="宋体" w:eastAsia="宋体" w:cs="Times New Roman"/>
          <w:b w:val="0"/>
          <w:bCs w:val="0"/>
          <w:color w:val="auto"/>
          <w:highlight w:val="none"/>
          <w:vertAlign w:val="baseline"/>
          <w:lang w:eastAsia="zh-CN"/>
        </w:rPr>
        <w:t>向</w:t>
      </w:r>
      <w:r>
        <w:rPr>
          <w:rFonts w:hint="eastAsia" w:ascii="宋体" w:hAnsi="宋体" w:eastAsia="宋体" w:cs="Times New Roman"/>
          <w:b w:val="0"/>
          <w:bCs w:val="0"/>
          <w:color w:val="auto"/>
          <w:highlight w:val="none"/>
          <w:vertAlign w:val="baseline"/>
          <w:lang w:val="en-US" w:eastAsia="zh-CN"/>
        </w:rPr>
        <w:t>甲方</w:t>
      </w:r>
      <w:r>
        <w:rPr>
          <w:rFonts w:hint="eastAsia" w:ascii="宋体" w:hAnsi="宋体" w:eastAsia="宋体" w:cs="Times New Roman"/>
          <w:b w:val="0"/>
          <w:bCs w:val="0"/>
          <w:color w:val="auto"/>
          <w:highlight w:val="none"/>
          <w:vertAlign w:val="baseline"/>
          <w:lang w:eastAsia="zh-CN"/>
        </w:rPr>
        <w:t>提交培训实施方案，方案合格后</w:t>
      </w:r>
      <w:r>
        <w:rPr>
          <w:rFonts w:hint="eastAsia" w:ascii="宋体" w:hAnsi="宋体" w:eastAsia="宋体" w:cs="宋体"/>
          <w:color w:val="auto"/>
          <w:sz w:val="21"/>
          <w:szCs w:val="21"/>
          <w:highlight w:val="none"/>
          <w:lang w:val="en-US" w:eastAsia="zh-CN"/>
        </w:rPr>
        <w:t>15个工作日</w:t>
      </w:r>
      <w:r>
        <w:rPr>
          <w:rFonts w:hint="eastAsia" w:ascii="宋体" w:hAnsi="宋体" w:eastAsia="宋体" w:cs="宋体"/>
          <w:color w:val="auto"/>
          <w:szCs w:val="21"/>
          <w:highlight w:val="none"/>
          <w:lang w:val="en-US" w:eastAsia="zh-CN"/>
        </w:rPr>
        <w:t>内甲方向乙方支付合同总金额的50%；</w:t>
      </w:r>
      <w:r>
        <w:rPr>
          <w:rFonts w:hint="eastAsia" w:ascii="宋体" w:hAnsi="宋体" w:eastAsia="宋体" w:cs="宋体"/>
          <w:color w:val="auto"/>
          <w:szCs w:val="21"/>
          <w:highlight w:val="none"/>
          <w:lang w:eastAsia="zh-CN"/>
        </w:rPr>
        <w:t>培训结束并验收合格后，</w:t>
      </w:r>
      <w:r>
        <w:rPr>
          <w:rFonts w:hint="eastAsia" w:ascii="宋体" w:hAnsi="宋体" w:eastAsia="宋体" w:cs="宋体"/>
          <w:color w:val="auto"/>
          <w:szCs w:val="21"/>
          <w:highlight w:val="none"/>
          <w:lang w:val="en-US" w:eastAsia="zh-CN"/>
        </w:rPr>
        <w:t>待乙方向甲方提交所有培训材料后</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甲方再向乙方</w:t>
      </w:r>
      <w:r>
        <w:rPr>
          <w:rFonts w:hint="eastAsia" w:ascii="宋体" w:hAnsi="宋体" w:eastAsia="宋体" w:cs="宋体"/>
          <w:color w:val="auto"/>
          <w:szCs w:val="21"/>
          <w:highlight w:val="none"/>
          <w:lang w:eastAsia="zh-CN"/>
        </w:rPr>
        <w:t>支付</w:t>
      </w:r>
      <w:r>
        <w:rPr>
          <w:rFonts w:hint="eastAsia" w:ascii="宋体" w:hAnsi="宋体" w:eastAsia="宋体" w:cs="宋体"/>
          <w:color w:val="auto"/>
          <w:szCs w:val="21"/>
          <w:highlight w:val="none"/>
          <w:lang w:val="en-US" w:eastAsia="zh-CN"/>
        </w:rPr>
        <w:t>合同</w:t>
      </w:r>
      <w:r>
        <w:rPr>
          <w:rFonts w:hint="eastAsia" w:ascii="宋体" w:hAnsi="宋体" w:eastAsia="宋体" w:cs="宋体"/>
          <w:color w:val="auto"/>
          <w:szCs w:val="21"/>
          <w:highlight w:val="none"/>
          <w:lang w:eastAsia="zh-CN"/>
        </w:rPr>
        <w:t>余款，</w:t>
      </w:r>
      <w:r>
        <w:rPr>
          <w:rFonts w:hint="eastAsia" w:ascii="宋体" w:hAnsi="宋体" w:eastAsia="宋体" w:cs="宋体"/>
          <w:color w:val="auto"/>
          <w:szCs w:val="21"/>
          <w:highlight w:val="none"/>
          <w:lang w:val="en-US" w:eastAsia="zh-CN"/>
        </w:rPr>
        <w:t>乙方必须在收到款项后10个工作日内向采购人开具正式发票。</w:t>
      </w:r>
    </w:p>
    <w:p>
      <w:pPr>
        <w:spacing w:line="360" w:lineRule="auto"/>
        <w:ind w:firstLine="420" w:firstLineChars="200"/>
        <w:rPr>
          <w:rFonts w:hint="default" w:ascii="宋体" w:hAnsi="宋体" w:eastAsia="宋体" w:cs="宋体"/>
          <w:color w:val="auto"/>
          <w:szCs w:val="21"/>
          <w:highlight w:val="none"/>
          <w:lang w:val="en-US"/>
        </w:rPr>
      </w:pPr>
      <w:r>
        <w:rPr>
          <w:rFonts w:hint="default" w:ascii="宋体" w:hAnsi="宋体" w:eastAsia="宋体" w:cs="宋体"/>
          <w:color w:val="auto"/>
          <w:szCs w:val="21"/>
          <w:highlight w:val="none"/>
          <w:lang w:val="en-US"/>
        </w:rPr>
        <w:t>开户名称：</w:t>
      </w:r>
    </w:p>
    <w:p>
      <w:pPr>
        <w:spacing w:line="360" w:lineRule="auto"/>
        <w:ind w:firstLine="420" w:firstLineChars="200"/>
        <w:rPr>
          <w:rFonts w:hint="default" w:ascii="宋体" w:hAnsi="宋体" w:eastAsia="宋体" w:cs="宋体"/>
          <w:color w:val="auto"/>
          <w:szCs w:val="21"/>
          <w:highlight w:val="none"/>
          <w:lang w:val="en-US"/>
        </w:rPr>
      </w:pPr>
      <w:r>
        <w:rPr>
          <w:rFonts w:hint="default" w:ascii="宋体" w:hAnsi="宋体" w:eastAsia="宋体" w:cs="宋体"/>
          <w:color w:val="auto"/>
          <w:szCs w:val="21"/>
          <w:highlight w:val="none"/>
          <w:lang w:val="en-US"/>
        </w:rPr>
        <w:t>开户银行：</w:t>
      </w:r>
    </w:p>
    <w:p>
      <w:pPr>
        <w:spacing w:line="360" w:lineRule="auto"/>
        <w:ind w:firstLine="420" w:firstLineChars="200"/>
        <w:rPr>
          <w:rFonts w:hint="default" w:ascii="宋体" w:hAnsi="宋体" w:eastAsia="宋体" w:cs="宋体"/>
          <w:color w:val="auto"/>
          <w:szCs w:val="21"/>
          <w:highlight w:val="none"/>
          <w:lang w:val="en-US"/>
        </w:rPr>
      </w:pPr>
      <w:r>
        <w:rPr>
          <w:rFonts w:hint="default" w:ascii="宋体" w:hAnsi="宋体" w:eastAsia="宋体" w:cs="宋体"/>
          <w:color w:val="auto"/>
          <w:szCs w:val="21"/>
          <w:highlight w:val="none"/>
          <w:lang w:val="en-US" w:eastAsia="zh-CN"/>
        </w:rPr>
        <w:t>账</w:t>
      </w:r>
      <w:r>
        <w:rPr>
          <w:rFonts w:hint="default" w:ascii="宋体" w:hAnsi="宋体" w:eastAsia="宋体" w:cs="宋体"/>
          <w:color w:val="auto"/>
          <w:szCs w:val="21"/>
          <w:highlight w:val="none"/>
          <w:lang w:val="en-US"/>
        </w:rPr>
        <w:t>号：</w:t>
      </w:r>
    </w:p>
    <w:p>
      <w:pPr>
        <w:snapToGrid w:val="0"/>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第七条　履约保证金</w:t>
      </w:r>
    </w:p>
    <w:p>
      <w:pPr>
        <w:spacing w:line="360" w:lineRule="auto"/>
        <w:ind w:firstLine="420" w:firstLineChars="200"/>
        <w:rPr>
          <w:rFonts w:hint="default" w:eastAsia="宋体"/>
          <w:color w:val="auto"/>
          <w:highlight w:val="none"/>
          <w:lang w:val="en-US" w:eastAsia="zh-CN"/>
        </w:rPr>
      </w:pPr>
      <w:r>
        <w:rPr>
          <w:rFonts w:hint="eastAsia" w:ascii="宋体" w:hAnsi="宋体" w:cs="宋体"/>
          <w:color w:val="auto"/>
          <w:szCs w:val="21"/>
          <w:highlight w:val="none"/>
          <w:lang w:eastAsia="zh-CN"/>
        </w:rPr>
        <w:t>　</w:t>
      </w:r>
      <w:r>
        <w:rPr>
          <w:rFonts w:hint="eastAsia" w:ascii="宋体" w:hAnsi="宋体" w:cs="宋体"/>
          <w:b/>
          <w:bCs/>
          <w:color w:val="auto"/>
          <w:szCs w:val="21"/>
          <w:highlight w:val="none"/>
        </w:rPr>
        <w:t xml:space="preserve"> </w:t>
      </w:r>
      <w:r>
        <w:rPr>
          <w:rFonts w:hint="eastAsia" w:ascii="宋体" w:hAnsi="宋体" w:cs="宋体"/>
          <w:b/>
          <w:bCs/>
          <w:color w:val="auto"/>
          <w:szCs w:val="21"/>
          <w:highlight w:val="none"/>
          <w:lang w:eastAsia="zh-CN"/>
        </w:rPr>
        <w:t>本项目不需要缴</w:t>
      </w:r>
      <w:r>
        <w:rPr>
          <w:rFonts w:hint="eastAsia" w:ascii="宋体" w:hAnsi="宋体" w:cs="宋体"/>
          <w:b/>
          <w:bCs/>
          <w:color w:val="auto"/>
          <w:kern w:val="0"/>
          <w:szCs w:val="21"/>
          <w:highlight w:val="none"/>
        </w:rPr>
        <w:t>纳</w:t>
      </w:r>
      <w:r>
        <w:rPr>
          <w:rFonts w:hint="eastAsia" w:ascii="宋体" w:hAnsi="宋体" w:cs="宋体"/>
          <w:b/>
          <w:bCs/>
          <w:color w:val="auto"/>
          <w:szCs w:val="21"/>
          <w:highlight w:val="none"/>
        </w:rPr>
        <w:t>履约</w:t>
      </w:r>
      <w:r>
        <w:rPr>
          <w:rFonts w:hint="eastAsia" w:ascii="宋体" w:hAnsi="宋体" w:cs="宋体"/>
          <w:b/>
          <w:bCs/>
          <w:color w:val="auto"/>
          <w:szCs w:val="21"/>
          <w:highlight w:val="none"/>
          <w:lang w:eastAsia="zh-CN"/>
        </w:rPr>
        <w:t>保证金。</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第八条  税费</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本合同执行中相关的一切税费均由乙方负担，合同另有约定的除外。</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第九条　违约责任</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w:t>
      </w:r>
      <w:r>
        <w:rPr>
          <w:rFonts w:hint="eastAsia" w:ascii="宋体" w:hAnsi="宋体"/>
          <w:color w:val="auto"/>
          <w:szCs w:val="21"/>
          <w:highlight w:val="none"/>
        </w:rPr>
        <w:t>除不可抗力原因外，乙方没有按照合同规定的时间提供服务的，甲方可要求乙方支付违约金。每推迟一天按合同</w:t>
      </w:r>
      <w:r>
        <w:rPr>
          <w:rFonts w:hint="eastAsia" w:ascii="宋体" w:hAnsi="宋体"/>
          <w:color w:val="auto"/>
          <w:szCs w:val="21"/>
          <w:highlight w:val="none"/>
          <w:lang w:eastAsia="zh-CN"/>
        </w:rPr>
        <w:t>总</w:t>
      </w:r>
      <w:r>
        <w:rPr>
          <w:rFonts w:hint="eastAsia" w:ascii="宋体" w:hAnsi="宋体"/>
          <w:color w:val="auto"/>
          <w:szCs w:val="21"/>
          <w:highlight w:val="none"/>
        </w:rPr>
        <w:t>金额的3‰支付违约金，该违约金累计不超过合同</w:t>
      </w:r>
      <w:r>
        <w:rPr>
          <w:rFonts w:hint="eastAsia" w:ascii="宋体" w:hAnsi="宋体"/>
          <w:color w:val="auto"/>
          <w:szCs w:val="21"/>
          <w:highlight w:val="none"/>
          <w:lang w:eastAsia="zh-CN"/>
        </w:rPr>
        <w:t>总</w:t>
      </w:r>
      <w:r>
        <w:rPr>
          <w:rFonts w:hint="eastAsia" w:ascii="宋体" w:hAnsi="宋体"/>
          <w:color w:val="auto"/>
          <w:szCs w:val="21"/>
          <w:highlight w:val="none"/>
        </w:rPr>
        <w:t>金额的10%。</w:t>
      </w:r>
      <w:r>
        <w:rPr>
          <w:rFonts w:hint="eastAsia" w:ascii="宋体" w:hAnsi="宋体" w:cs="宋体"/>
          <w:color w:val="auto"/>
          <w:szCs w:val="21"/>
          <w:highlight w:val="none"/>
        </w:rPr>
        <w:t xml:space="preserve">                                  </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乙方提供的服务如侵犯了第三方合法权益而引发的任何纠纷或者诉讼，均由乙方负责交涉并承担全部责任。</w:t>
      </w:r>
    </w:p>
    <w:p>
      <w:pPr>
        <w:snapToGrid w:val="0"/>
        <w:spacing w:line="360" w:lineRule="auto"/>
        <w:ind w:firstLine="420" w:firstLineChars="200"/>
        <w:rPr>
          <w:rFonts w:hint="eastAsia" w:ascii="宋体" w:hAnsi="宋体" w:cs="宋体"/>
          <w:color w:val="auto"/>
          <w:szCs w:val="21"/>
          <w:highlight w:val="none"/>
        </w:rPr>
      </w:pPr>
      <w:r>
        <w:rPr>
          <w:rFonts w:ascii="宋体" w:hAnsi="宋体"/>
          <w:color w:val="auto"/>
          <w:szCs w:val="21"/>
          <w:highlight w:val="none"/>
        </w:rPr>
        <w:t>3</w:t>
      </w:r>
      <w:r>
        <w:rPr>
          <w:rFonts w:hint="eastAsia" w:ascii="宋体" w:hAnsi="宋体"/>
          <w:color w:val="auto"/>
          <w:szCs w:val="21"/>
          <w:highlight w:val="none"/>
          <w:lang w:val="en-US" w:eastAsia="zh-CN"/>
        </w:rPr>
        <w:t>.</w:t>
      </w:r>
      <w:r>
        <w:rPr>
          <w:rFonts w:hint="eastAsia" w:ascii="宋体" w:hAnsi="宋体"/>
          <w:color w:val="auto"/>
          <w:szCs w:val="21"/>
          <w:highlight w:val="none"/>
        </w:rPr>
        <w:t>甲方延期付款的，每天向乙方偿付延期款额3‰滞纳金，但滞纳金累计不得超过延期款额5%。</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第十条  不可抗力事件处理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在合同有效期内，任何一方因不可抗力事件导致不能履行合同，则合同履行期可延长，其延长期与不可抗力影响期相同。</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不可抗力事件发生后，应立即通知对方，并寄送有关权威机构出具的证明。</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不可抗力事件延续一百二十天以上，双方应通过友好协商，确定是否继续履行合同。</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第十一条  合同争议</w:t>
      </w:r>
      <w:r>
        <w:rPr>
          <w:rFonts w:hint="eastAsia" w:ascii="宋体" w:hAnsi="宋体" w:cs="宋体"/>
          <w:b/>
          <w:color w:val="auto"/>
          <w:szCs w:val="21"/>
          <w:highlight w:val="none"/>
          <w:lang w:eastAsia="zh-CN"/>
        </w:rPr>
        <w:t>及</w:t>
      </w:r>
      <w:r>
        <w:rPr>
          <w:rFonts w:hint="eastAsia" w:ascii="宋体" w:hAnsi="宋体" w:cs="宋体"/>
          <w:b/>
          <w:color w:val="auto"/>
          <w:szCs w:val="21"/>
          <w:highlight w:val="none"/>
        </w:rPr>
        <w:t>解决</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因服务质量问题发生争议的，应邀请国家认可的质量检测机构进行鉴定。服务符合标准的，鉴定费由甲方承担；服务不符合标准的，鉴定费由乙方承担。</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因履行本合同引起的或者与本合同有关的争议，甲乙双方应首先通过友好协商解决，如果协商不能解决，可向甲方所在地有管辖权的人民法院提起诉讼。</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诉讼期间，本合同继续履行。</w:t>
      </w:r>
    </w:p>
    <w:p>
      <w:pPr>
        <w:spacing w:line="360" w:lineRule="auto"/>
        <w:ind w:firstLine="422" w:firstLineChars="200"/>
        <w:rPr>
          <w:rFonts w:hint="eastAsia" w:ascii="宋体" w:hAnsi="宋体" w:eastAsia="宋体" w:cs="宋体"/>
          <w:b/>
          <w:color w:val="auto"/>
          <w:szCs w:val="21"/>
          <w:highlight w:val="none"/>
          <w:lang w:eastAsia="zh-CN"/>
        </w:rPr>
      </w:pPr>
      <w:r>
        <w:rPr>
          <w:rFonts w:hint="eastAsia" w:ascii="宋体" w:hAnsi="宋体" w:cs="宋体"/>
          <w:b/>
          <w:color w:val="auto"/>
          <w:szCs w:val="21"/>
          <w:highlight w:val="none"/>
        </w:rPr>
        <w:t>第十二条  合同生效及</w:t>
      </w:r>
      <w:r>
        <w:rPr>
          <w:rFonts w:hint="eastAsia" w:ascii="宋体" w:hAnsi="宋体" w:cs="宋体"/>
          <w:b/>
          <w:color w:val="auto"/>
          <w:szCs w:val="21"/>
          <w:highlight w:val="none"/>
          <w:lang w:eastAsia="zh-CN"/>
        </w:rPr>
        <w:t>其他</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合同经双方法定代表人或者授权代表签字并加盖单位公章后生效（委托代理人签字的需后附法定代表人授权委托书，格式自拟）。</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合同执行中涉及采购资金和采购内容修改或者补充的，须经财政部门审批，并签书面补充协议报财政部门备案，方可作为主合同不可分割的一部分。</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3、本合同未尽事宜，遵照《</w:t>
      </w:r>
      <w:r>
        <w:rPr>
          <w:rFonts w:hint="eastAsia" w:ascii="宋体" w:hAnsi="宋体" w:cs="宋体"/>
          <w:color w:val="auto"/>
          <w:szCs w:val="21"/>
          <w:highlight w:val="none"/>
          <w:lang w:eastAsia="zh-CN"/>
        </w:rPr>
        <w:t>中华人民共和国民法典</w:t>
      </w:r>
      <w:r>
        <w:rPr>
          <w:rFonts w:hint="eastAsia" w:ascii="宋体" w:hAnsi="宋体" w:cs="宋体"/>
          <w:color w:val="auto"/>
          <w:szCs w:val="21"/>
          <w:highlight w:val="none"/>
        </w:rPr>
        <w:t>》有关条文执行。</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第十三条　合同的变更、终止与转让</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除《中华人民共和国政府采购法》第五十条规定的情形外，本合同一经签订，甲乙双方不得擅自变更、中止或者终止。</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乙方不得擅自转让其应履行的合同义务。</w:t>
      </w:r>
    </w:p>
    <w:p>
      <w:pPr>
        <w:spacing w:line="360" w:lineRule="auto"/>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第十四条　签订本合同依据</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成交通知书</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w:t>
      </w:r>
      <w:r>
        <w:rPr>
          <w:rFonts w:hint="eastAsia" w:ascii="宋体" w:hAnsi="宋体" w:cs="宋体"/>
          <w:color w:val="auto"/>
          <w:szCs w:val="21"/>
          <w:highlight w:val="none"/>
          <w:lang w:eastAsia="zh-CN"/>
        </w:rPr>
        <w:t>响应报价表</w:t>
      </w:r>
      <w:r>
        <w:rPr>
          <w:rFonts w:hint="eastAsia" w:ascii="宋体" w:hAnsi="宋体" w:cs="宋体"/>
          <w:color w:val="auto"/>
          <w:szCs w:val="21"/>
          <w:highlight w:val="none"/>
        </w:rPr>
        <w:t>；</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cs="宋体"/>
          <w:color w:val="auto"/>
          <w:kern w:val="2"/>
          <w:sz w:val="21"/>
          <w:szCs w:val="21"/>
          <w:highlight w:val="none"/>
          <w:lang w:val="en-US" w:eastAsia="zh-CN"/>
        </w:rPr>
        <w:t>3.响应函；</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商务条款偏离表和服务需求偏离表；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lang w:eastAsia="zh-CN"/>
        </w:rPr>
        <w:t>售后</w:t>
      </w:r>
      <w:r>
        <w:rPr>
          <w:rFonts w:hint="eastAsia" w:ascii="宋体" w:hAnsi="宋体" w:cs="宋体"/>
          <w:color w:val="auto"/>
          <w:szCs w:val="21"/>
          <w:highlight w:val="none"/>
        </w:rPr>
        <w:t>服务方案；</w:t>
      </w:r>
    </w:p>
    <w:p>
      <w:pPr>
        <w:spacing w:line="360" w:lineRule="auto"/>
        <w:ind w:firstLine="420" w:firstLineChars="200"/>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6.</w:t>
      </w:r>
      <w:r>
        <w:rPr>
          <w:rFonts w:hint="eastAsia" w:hAnsi="宋体" w:eastAsia="宋体" w:cs="宋体"/>
          <w:color w:val="auto"/>
          <w:sz w:val="21"/>
          <w:highlight w:val="none"/>
        </w:rPr>
        <w:t>……</w:t>
      </w:r>
      <w:r>
        <w:rPr>
          <w:rFonts w:hint="eastAsia" w:hAnsi="宋体" w:eastAsia="宋体" w:cs="宋体"/>
          <w:color w:val="auto"/>
          <w:sz w:val="21"/>
          <w:highlight w:val="none"/>
          <w:lang w:eastAsia="zh-CN"/>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7.</w:t>
      </w:r>
      <w:r>
        <w:rPr>
          <w:rFonts w:hint="eastAsia" w:hAnsi="宋体" w:eastAsia="宋体" w:cs="宋体"/>
          <w:color w:val="auto"/>
          <w:sz w:val="21"/>
          <w:highlight w:val="none"/>
          <w:lang w:eastAsia="zh-CN"/>
        </w:rPr>
        <w:t>其他</w:t>
      </w:r>
      <w:r>
        <w:rPr>
          <w:rFonts w:hint="eastAsia" w:hAnsi="宋体" w:eastAsia="宋体" w:cs="宋体"/>
          <w:color w:val="auto"/>
          <w:sz w:val="21"/>
          <w:highlight w:val="none"/>
        </w:rPr>
        <w:t>合同文件</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上述合同文件互相补充和解释。如果合同文件之间存在矛盾或者不一致之处，以上述文件的排列顺序在先者为准。</w:t>
      </w:r>
    </w:p>
    <w:p>
      <w:pPr>
        <w:spacing w:line="360" w:lineRule="auto"/>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第十五条　</w:t>
      </w:r>
      <w:r>
        <w:rPr>
          <w:rFonts w:hint="eastAsia" w:ascii="宋体" w:hAnsi="宋体" w:cs="宋体"/>
          <w:color w:val="auto"/>
          <w:szCs w:val="21"/>
          <w:highlight w:val="none"/>
        </w:rPr>
        <w:t>本合同一式</w:t>
      </w:r>
      <w:r>
        <w:rPr>
          <w:rFonts w:hint="eastAsia" w:ascii="宋体" w:hAnsi="宋体" w:cs="宋体"/>
          <w:color w:val="auto"/>
          <w:szCs w:val="21"/>
          <w:highlight w:val="none"/>
          <w:lang w:val="en-US" w:eastAsia="zh-CN"/>
        </w:rPr>
        <w:t>三</w:t>
      </w:r>
      <w:r>
        <w:rPr>
          <w:rFonts w:hint="eastAsia" w:ascii="宋体" w:hAnsi="宋体" w:cs="宋体"/>
          <w:color w:val="auto"/>
          <w:szCs w:val="21"/>
          <w:highlight w:val="none"/>
        </w:rPr>
        <w:t>份，具有同等法律效力，采购代理机构一份，甲乙双方各一份（可根据需要另增加）。</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本合同甲乙双方签字盖章后生效，自签订之日起七个工作日内，甲方应当将合同副本报同级财政部门备案。</w:t>
      </w:r>
    </w:p>
    <w:p>
      <w:pPr>
        <w:pStyle w:val="2"/>
        <w:rPr>
          <w:rFonts w:hint="eastAsia" w:ascii="宋体" w:hAnsi="宋体" w:cs="宋体"/>
          <w:color w:val="auto"/>
          <w:szCs w:val="21"/>
          <w:highlight w:val="none"/>
        </w:rPr>
      </w:pPr>
    </w:p>
    <w:p>
      <w:pPr>
        <w:spacing w:line="600" w:lineRule="auto"/>
        <w:ind w:firstLine="420" w:firstLineChars="200"/>
        <w:rPr>
          <w:rFonts w:hint="eastAsia" w:ascii="宋体" w:hAnsi="宋体" w:eastAsia="宋体" w:cs="宋体"/>
          <w:color w:val="auto"/>
          <w:szCs w:val="21"/>
          <w:highlight w:val="none"/>
        </w:rPr>
      </w:pPr>
    </w:p>
    <w:p>
      <w:pPr>
        <w:spacing w:line="6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甲方：（章）</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乙方：（章）     </w:t>
      </w:r>
    </w:p>
    <w:p>
      <w:pPr>
        <w:spacing w:line="60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val="en-US" w:eastAsia="zh-CN"/>
        </w:rPr>
        <w:t>或委托代理人</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法定代表人</w:t>
      </w:r>
      <w:r>
        <w:rPr>
          <w:rFonts w:hint="eastAsia" w:ascii="宋体" w:hAnsi="宋体" w:eastAsia="宋体" w:cs="宋体"/>
          <w:color w:val="auto"/>
          <w:szCs w:val="21"/>
          <w:highlight w:val="none"/>
          <w:lang w:val="en-US" w:eastAsia="zh-CN"/>
        </w:rPr>
        <w:t>或委托代理人</w:t>
      </w:r>
      <w:r>
        <w:rPr>
          <w:rFonts w:hint="eastAsia" w:ascii="宋体" w:hAnsi="宋体" w:eastAsia="宋体" w:cs="宋体"/>
          <w:color w:val="auto"/>
          <w:szCs w:val="21"/>
          <w:highlight w:val="none"/>
        </w:rPr>
        <w:t>：</w:t>
      </w:r>
    </w:p>
    <w:p>
      <w:pPr>
        <w:spacing w:line="60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单位地址：</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单位地址：</w:t>
      </w:r>
    </w:p>
    <w:p>
      <w:pPr>
        <w:spacing w:line="600" w:lineRule="auto"/>
        <w:ind w:firstLine="420" w:firstLineChars="200"/>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rPr>
        <w:t>年   月   日</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年   月   日</w:t>
      </w:r>
    </w:p>
    <w:p>
      <w:pPr>
        <w:snapToGrid w:val="0"/>
        <w:spacing w:line="600" w:lineRule="auto"/>
        <w:jc w:val="center"/>
        <w:rPr>
          <w:rFonts w:hint="eastAsia" w:ascii="宋体" w:hAnsi="宋体"/>
          <w:b/>
          <w:color w:val="auto"/>
          <w:szCs w:val="21"/>
          <w:highlight w:val="none"/>
        </w:rPr>
      </w:pPr>
      <w:r>
        <w:rPr>
          <w:rFonts w:hint="eastAsia" w:ascii="宋体" w:hAnsi="宋体" w:cs="Courier New"/>
          <w:b/>
          <w:color w:val="auto"/>
          <w:szCs w:val="21"/>
          <w:highlight w:val="none"/>
        </w:rPr>
        <w:br w:type="page"/>
      </w:r>
      <w:r>
        <w:rPr>
          <w:rFonts w:hint="eastAsia" w:ascii="宋体" w:hAnsi="宋体"/>
          <w:b/>
          <w:color w:val="auto"/>
          <w:szCs w:val="21"/>
          <w:highlight w:val="none"/>
        </w:rPr>
        <w:t>合 同 附 件</w:t>
      </w:r>
    </w:p>
    <w:p>
      <w:pPr>
        <w:snapToGrid w:val="0"/>
        <w:spacing w:line="360" w:lineRule="auto"/>
        <w:rPr>
          <w:rFonts w:hint="eastAsia" w:ascii="宋体" w:hAnsi="宋体"/>
          <w:color w:val="auto"/>
          <w:szCs w:val="21"/>
          <w:highlight w:val="none"/>
        </w:rPr>
      </w:pPr>
    </w:p>
    <w:tbl>
      <w:tblPr>
        <w:tblStyle w:val="25"/>
        <w:tblW w:w="0" w:type="auto"/>
        <w:tblInd w:w="493" w:type="dxa"/>
        <w:tblLayout w:type="fixed"/>
        <w:tblCellMar>
          <w:top w:w="0" w:type="dxa"/>
          <w:left w:w="108" w:type="dxa"/>
          <w:bottom w:w="0" w:type="dxa"/>
          <w:right w:w="108" w:type="dxa"/>
        </w:tblCellMar>
      </w:tblPr>
      <w:tblGrid>
        <w:gridCol w:w="3755"/>
        <w:gridCol w:w="5210"/>
      </w:tblGrid>
      <w:tr>
        <w:tblPrEx>
          <w:tblCellMar>
            <w:top w:w="0" w:type="dxa"/>
            <w:left w:w="108" w:type="dxa"/>
            <w:bottom w:w="0" w:type="dxa"/>
            <w:right w:w="108" w:type="dxa"/>
          </w:tblCellMar>
        </w:tblPrEx>
        <w:trPr>
          <w:trHeight w:val="1226" w:hRule="atLeast"/>
        </w:trPr>
        <w:tc>
          <w:tcPr>
            <w:tcW w:w="8965"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1. 供应商承诺具体事项：</w:t>
            </w:r>
          </w:p>
        </w:tc>
      </w:tr>
      <w:tr>
        <w:tblPrEx>
          <w:tblCellMar>
            <w:top w:w="0" w:type="dxa"/>
            <w:left w:w="108" w:type="dxa"/>
            <w:bottom w:w="0" w:type="dxa"/>
            <w:right w:w="108" w:type="dxa"/>
          </w:tblCellMar>
        </w:tblPrEx>
        <w:trPr>
          <w:trHeight w:val="1228" w:hRule="atLeast"/>
        </w:trPr>
        <w:tc>
          <w:tcPr>
            <w:tcW w:w="8965"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 服务具体事项：</w:t>
            </w:r>
          </w:p>
        </w:tc>
      </w:tr>
      <w:tr>
        <w:tblPrEx>
          <w:tblCellMar>
            <w:top w:w="0" w:type="dxa"/>
            <w:left w:w="108" w:type="dxa"/>
            <w:bottom w:w="0" w:type="dxa"/>
            <w:right w:w="108" w:type="dxa"/>
          </w:tblCellMar>
        </w:tblPrEx>
        <w:trPr>
          <w:trHeight w:val="1360" w:hRule="atLeast"/>
        </w:trPr>
        <w:tc>
          <w:tcPr>
            <w:tcW w:w="8965" w:type="dxa"/>
            <w:gridSpan w:val="2"/>
            <w:tcBorders>
              <w:top w:val="single" w:color="auto" w:sz="4" w:space="0"/>
              <w:left w:val="single" w:color="auto" w:sz="4" w:space="0"/>
              <w:right w:val="single" w:color="auto" w:sz="4" w:space="0"/>
            </w:tcBorders>
            <w:noWrap w:val="0"/>
            <w:vAlign w:val="top"/>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lang w:val="en-US" w:eastAsia="zh-CN"/>
              </w:rPr>
              <w:t>3</w:t>
            </w:r>
            <w:r>
              <w:rPr>
                <w:rFonts w:hint="eastAsia" w:ascii="宋体" w:hAnsi="宋体"/>
                <w:b/>
                <w:color w:val="auto"/>
                <w:szCs w:val="21"/>
                <w:highlight w:val="none"/>
              </w:rPr>
              <w:t xml:space="preserve">. </w:t>
            </w:r>
            <w:r>
              <w:rPr>
                <w:rFonts w:hint="eastAsia" w:ascii="宋体" w:hAnsi="宋体"/>
                <w:b/>
                <w:color w:val="auto"/>
                <w:szCs w:val="21"/>
                <w:highlight w:val="none"/>
                <w:lang w:eastAsia="zh-CN"/>
              </w:rPr>
              <w:t>其他</w:t>
            </w:r>
            <w:r>
              <w:rPr>
                <w:rFonts w:hint="eastAsia" w:ascii="宋体" w:hAnsi="宋体"/>
                <w:b/>
                <w:color w:val="auto"/>
                <w:szCs w:val="21"/>
                <w:highlight w:val="none"/>
              </w:rPr>
              <w:t>具体事项：</w:t>
            </w:r>
          </w:p>
        </w:tc>
      </w:tr>
      <w:tr>
        <w:tblPrEx>
          <w:tblCellMar>
            <w:top w:w="0" w:type="dxa"/>
            <w:left w:w="108" w:type="dxa"/>
            <w:bottom w:w="0" w:type="dxa"/>
            <w:right w:w="108" w:type="dxa"/>
          </w:tblCellMar>
        </w:tblPrEx>
        <w:trPr>
          <w:trHeight w:val="1703" w:hRule="atLeast"/>
        </w:trPr>
        <w:tc>
          <w:tcPr>
            <w:tcW w:w="37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甲方（章）</w:t>
            </w:r>
          </w:p>
          <w:p>
            <w:pPr>
              <w:snapToGrid w:val="0"/>
              <w:spacing w:line="360" w:lineRule="auto"/>
              <w:ind w:firstLine="422" w:firstLineChars="200"/>
              <w:rPr>
                <w:rFonts w:hint="eastAsia" w:ascii="宋体" w:hAnsi="宋体"/>
                <w:b/>
                <w:color w:val="auto"/>
                <w:szCs w:val="21"/>
                <w:highlight w:val="none"/>
              </w:rPr>
            </w:pPr>
          </w:p>
          <w:p>
            <w:pPr>
              <w:snapToGrid w:val="0"/>
              <w:spacing w:line="360" w:lineRule="auto"/>
              <w:rPr>
                <w:rFonts w:hint="eastAsia" w:ascii="宋体" w:hAnsi="宋体"/>
                <w:b/>
                <w:color w:val="auto"/>
                <w:szCs w:val="21"/>
                <w:highlight w:val="none"/>
              </w:rPr>
            </w:pP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                 年   月   日 </w:t>
            </w:r>
          </w:p>
        </w:tc>
        <w:tc>
          <w:tcPr>
            <w:tcW w:w="521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乙方（章）</w:t>
            </w:r>
          </w:p>
          <w:p>
            <w:pPr>
              <w:snapToGrid w:val="0"/>
              <w:spacing w:line="360" w:lineRule="auto"/>
              <w:ind w:firstLine="422" w:firstLineChars="200"/>
              <w:rPr>
                <w:rFonts w:hint="eastAsia" w:ascii="宋体" w:hAnsi="宋体"/>
                <w:b/>
                <w:color w:val="auto"/>
                <w:szCs w:val="21"/>
                <w:highlight w:val="none"/>
              </w:rPr>
            </w:pPr>
          </w:p>
          <w:p>
            <w:pPr>
              <w:snapToGrid w:val="0"/>
              <w:spacing w:line="360" w:lineRule="auto"/>
              <w:rPr>
                <w:rFonts w:hint="eastAsia" w:ascii="宋体" w:hAnsi="宋体"/>
                <w:b/>
                <w:color w:val="auto"/>
                <w:szCs w:val="21"/>
                <w:highlight w:val="none"/>
              </w:rPr>
            </w:pP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 xml:space="preserve">                年   月   日</w:t>
            </w:r>
          </w:p>
        </w:tc>
      </w:tr>
    </w:tbl>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 xml:space="preserve">   注：服务事项填不下时可另加附页</w:t>
      </w:r>
    </w:p>
    <w:p>
      <w:pPr>
        <w:snapToGrid w:val="0"/>
        <w:spacing w:line="360" w:lineRule="auto"/>
        <w:rPr>
          <w:rFonts w:hint="eastAsia" w:ascii="宋体" w:hAnsi="宋体" w:cs="Courier New"/>
          <w:b/>
          <w:color w:val="auto"/>
          <w:szCs w:val="21"/>
          <w:highlight w:val="none"/>
        </w:rPr>
      </w:pPr>
    </w:p>
    <w:p>
      <w:pPr>
        <w:snapToGrid w:val="0"/>
        <w:spacing w:line="360" w:lineRule="auto"/>
        <w:jc w:val="left"/>
        <w:rPr>
          <w:rFonts w:ascii="宋体" w:hAnsi="宋体" w:cs="宋体"/>
          <w:color w:val="auto"/>
          <w:highlight w:val="none"/>
        </w:rPr>
      </w:pPr>
    </w:p>
    <w:sectPr>
      <w:headerReference r:id="rId11" w:type="first"/>
      <w:headerReference r:id="rId10" w:type="default"/>
      <w:footerReference r:id="rId12"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MS Mincho">
    <w:altName w:val="Yu Gothic UI"/>
    <w:panose1 w:val="02020609040205080304"/>
    <w:charset w:val="80"/>
    <w:family w:val="modern"/>
    <w:pitch w:val="default"/>
    <w:sig w:usb0="00000000" w:usb1="00000000" w:usb2="00000012" w:usb3="00000000" w:csb0="4002009F" w:csb1="DFD70000"/>
  </w:font>
  <w:font w:name="Wingdings 2">
    <w:panose1 w:val="05020102010507070707"/>
    <w:charset w:val="02"/>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right="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20OmGsABAACbAwAADgAAAAAAAAABACAAAAAfAQAAZHJzL2Uyb0RvYy54bWxQSwUG&#10;AAAAAAYABgBZAQAAU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24</w:t>
                    </w:r>
                    <w:r>
                      <w:fldChar w:fldCharType="end"/>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WQ/k/8ABAACbAwAADgAAAAAAAAABACAAAAAfAQAAZHJzL2Uyb0RvYy54bWxQSwUG&#10;AAAAAAYABgBZAQAAU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40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
                          </w:pPr>
                          <w:r>
                            <w:fldChar w:fldCharType="begin"/>
                          </w:r>
                          <w:r>
                            <w:instrText xml:space="preserve"> PAGE  \* MERGEFORMAT </w:instrText>
                          </w:r>
                          <w:r>
                            <w:fldChar w:fldCharType="separate"/>
                          </w:r>
                          <w:r>
                            <w:t>72</w:t>
                          </w:r>
                          <w:r>
                            <w:fldChar w:fldCharType="end"/>
                          </w:r>
                        </w:p>
                      </w:txbxContent>
                    </wps:txbx>
                    <wps:bodyPr wrap="none" lIns="0" tIns="0" rIns="0" bIns="0" upright="1">
                      <a:spAutoFit/>
                    </wps:bodyPr>
                  </wps:wsp>
                </a:graphicData>
              </a:graphic>
            </wp:anchor>
          </w:drawing>
        </mc:Choice>
        <mc:Fallback>
          <w:pict>
            <v:shape id="409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zSVju0AAAAAUBAAAPAAAAAAAAAAEAIAAAACIAAABkcnMvZG93bnJldi54bWxQSwECFAAU&#10;AAAACACHTuJAH/WvpMABAACbAwAADgAAAAAAAAABACAAAAAfAQAAZHJzL2Uyb0RvYy54bWxQSwUG&#10;AAAAAAYABgBZAQAAU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72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防城出入境边防检查站社会化保障服务项目（FCZC2021-C3-10007-KLZB）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sz w:val="21"/>
        <w:szCs w:val="21"/>
      </w:rPr>
    </w:pPr>
    <w:r>
      <w:rPr>
        <w:rFonts w:hint="eastAsia"/>
        <w:sz w:val="21"/>
        <w:szCs w:val="21"/>
        <w:lang w:eastAsia="zh-CN"/>
      </w:rPr>
      <w:t>防城港市教育局2023年“区培计划”市级统筹项目培训服务采购</w:t>
    </w:r>
    <w:r>
      <w:rPr>
        <w:rFonts w:hint="eastAsia"/>
        <w:sz w:val="21"/>
        <w:szCs w:val="21"/>
      </w:rPr>
      <w:t>（</w:t>
    </w:r>
    <w:r>
      <w:rPr>
        <w:rFonts w:hint="eastAsia"/>
        <w:sz w:val="21"/>
        <w:szCs w:val="21"/>
        <w:lang w:eastAsia="zh-CN"/>
      </w:rPr>
      <w:t>KLFCGC20233003</w:t>
    </w:r>
    <w:r>
      <w:rPr>
        <w:rFonts w:hint="eastAsia"/>
        <w:sz w:val="21"/>
        <w:szCs w:val="21"/>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single" w:color="auto" w:sz="4" w:space="1"/>
      </w:pBdr>
      <w:ind w:right="-99" w:firstLine="317"/>
      <w:rPr>
        <w:rFonts w:hint="eastAsia" w:ascii="宋体" w:hAnsi="宋体" w:eastAsia="宋体" w:cs="宋体"/>
        <w:sz w:val="21"/>
        <w:szCs w:val="21"/>
      </w:rPr>
    </w:pPr>
    <w:r>
      <w:rPr>
        <w:rFonts w:hint="eastAsia" w:ascii="宋体" w:hAnsi="宋体" w:cs="宋体"/>
        <w:sz w:val="21"/>
        <w:szCs w:val="21"/>
        <w:lang w:eastAsia="zh-CN"/>
      </w:rPr>
      <w:t>防城港市教育局2023年“区培计划”市级统筹项目培训服务采购</w:t>
    </w:r>
    <w:r>
      <w:rPr>
        <w:rFonts w:hint="eastAsia" w:ascii="宋体" w:hAnsi="宋体" w:eastAsia="宋体" w:cs="宋体"/>
        <w:sz w:val="21"/>
        <w:szCs w:val="21"/>
      </w:rPr>
      <w:t>（</w:t>
    </w:r>
    <w:r>
      <w:rPr>
        <w:rFonts w:hint="eastAsia" w:ascii="宋体" w:hAnsi="宋体" w:cs="宋体"/>
        <w:sz w:val="21"/>
        <w:szCs w:val="21"/>
        <w:lang w:eastAsia="zh-CN"/>
      </w:rPr>
      <w:t>KLFCGC20233003</w:t>
    </w:r>
    <w:r>
      <w:rPr>
        <w:rFonts w:hint="eastAsia" w:ascii="宋体" w:hAnsi="宋体" w:eastAsia="宋体" w:cs="宋体"/>
        <w:sz w:val="21"/>
        <w:szCs w:val="21"/>
      </w:rPr>
      <w:t>）</w:t>
    </w:r>
  </w:p>
  <w:p>
    <w:pPr>
      <w:pStyle w:val="17"/>
      <w:pBdr>
        <w:bottom w:val="none" w:color="auto" w:sz="0" w:space="0"/>
      </w:pBdr>
      <w:tabs>
        <w:tab w:val="left" w:pos="4922"/>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pStyle w:val="8"/>
      <w:lvlText w:val="%1."/>
      <w:lvlJc w:val="left"/>
      <w:pPr>
        <w:tabs>
          <w:tab w:val="left" w:pos="360"/>
        </w:tabs>
        <w:ind w:left="360" w:hanging="360"/>
      </w:pPr>
    </w:lvl>
  </w:abstractNum>
  <w:abstractNum w:abstractNumId="1">
    <w:nsid w:val="00000002"/>
    <w:multiLevelType w:val="multilevel"/>
    <w:tmpl w:val="00000002"/>
    <w:lvl w:ilvl="0" w:tentative="0">
      <w:start w:val="1"/>
      <w:numFmt w:val="decimal"/>
      <w:lvlText w:val="%1."/>
      <w:lvlJc w:val="center"/>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yMGMyNjQyNDljZTQ3MmI5MDZjZDdjZWUyNTYyNWQifQ=="/>
  </w:docVars>
  <w:rsids>
    <w:rsidRoot w:val="0054245E"/>
    <w:rsid w:val="0003540E"/>
    <w:rsid w:val="00157BEC"/>
    <w:rsid w:val="001764A3"/>
    <w:rsid w:val="00191E58"/>
    <w:rsid w:val="00271E4C"/>
    <w:rsid w:val="003A6A3E"/>
    <w:rsid w:val="00445BEE"/>
    <w:rsid w:val="004A1B20"/>
    <w:rsid w:val="0054245E"/>
    <w:rsid w:val="00544B71"/>
    <w:rsid w:val="005A03CA"/>
    <w:rsid w:val="006854EE"/>
    <w:rsid w:val="006E3061"/>
    <w:rsid w:val="00757B9E"/>
    <w:rsid w:val="00777F89"/>
    <w:rsid w:val="007869A5"/>
    <w:rsid w:val="008530A8"/>
    <w:rsid w:val="008B422A"/>
    <w:rsid w:val="00950AFE"/>
    <w:rsid w:val="009D7DF0"/>
    <w:rsid w:val="00A362C8"/>
    <w:rsid w:val="00A95BF6"/>
    <w:rsid w:val="00AA5C2A"/>
    <w:rsid w:val="00AF03AA"/>
    <w:rsid w:val="00B9247D"/>
    <w:rsid w:val="00B95443"/>
    <w:rsid w:val="00B97C95"/>
    <w:rsid w:val="00D34314"/>
    <w:rsid w:val="00D7080D"/>
    <w:rsid w:val="00E00A9F"/>
    <w:rsid w:val="00F40EF8"/>
    <w:rsid w:val="022C3DF9"/>
    <w:rsid w:val="028E13EB"/>
    <w:rsid w:val="02B20854"/>
    <w:rsid w:val="05381AA3"/>
    <w:rsid w:val="058C7C0B"/>
    <w:rsid w:val="09306D58"/>
    <w:rsid w:val="0A466107"/>
    <w:rsid w:val="0AA84741"/>
    <w:rsid w:val="0AC51722"/>
    <w:rsid w:val="0DB1563F"/>
    <w:rsid w:val="0E317F37"/>
    <w:rsid w:val="0E7B6CC7"/>
    <w:rsid w:val="0FE60171"/>
    <w:rsid w:val="10A63251"/>
    <w:rsid w:val="10AB2C08"/>
    <w:rsid w:val="11687E88"/>
    <w:rsid w:val="12421F40"/>
    <w:rsid w:val="12617F82"/>
    <w:rsid w:val="13430242"/>
    <w:rsid w:val="13B642FE"/>
    <w:rsid w:val="13B9148C"/>
    <w:rsid w:val="144412E6"/>
    <w:rsid w:val="15380A99"/>
    <w:rsid w:val="18C36EC6"/>
    <w:rsid w:val="19507342"/>
    <w:rsid w:val="1B0123D2"/>
    <w:rsid w:val="1B745C72"/>
    <w:rsid w:val="1B9A62B3"/>
    <w:rsid w:val="1BA60E53"/>
    <w:rsid w:val="1E7B061E"/>
    <w:rsid w:val="1E7E40B4"/>
    <w:rsid w:val="21871088"/>
    <w:rsid w:val="23B4531E"/>
    <w:rsid w:val="242505F8"/>
    <w:rsid w:val="24815FAE"/>
    <w:rsid w:val="274C1806"/>
    <w:rsid w:val="29AC3D81"/>
    <w:rsid w:val="2A2542BB"/>
    <w:rsid w:val="2AAF3B29"/>
    <w:rsid w:val="2ADC7A2A"/>
    <w:rsid w:val="2AFB4B80"/>
    <w:rsid w:val="2BA54F2C"/>
    <w:rsid w:val="2BFA3C4A"/>
    <w:rsid w:val="2D705293"/>
    <w:rsid w:val="2E503D56"/>
    <w:rsid w:val="2F5C4936"/>
    <w:rsid w:val="307F14FA"/>
    <w:rsid w:val="32660E69"/>
    <w:rsid w:val="329811B9"/>
    <w:rsid w:val="332D7E38"/>
    <w:rsid w:val="33834C44"/>
    <w:rsid w:val="36B812FD"/>
    <w:rsid w:val="372872F9"/>
    <w:rsid w:val="385A1C13"/>
    <w:rsid w:val="38F4304F"/>
    <w:rsid w:val="396C18B4"/>
    <w:rsid w:val="3B19107E"/>
    <w:rsid w:val="3BDC1D65"/>
    <w:rsid w:val="3C035D55"/>
    <w:rsid w:val="3DD671C7"/>
    <w:rsid w:val="3E26643A"/>
    <w:rsid w:val="3E2B14B7"/>
    <w:rsid w:val="3F457C4B"/>
    <w:rsid w:val="40664C89"/>
    <w:rsid w:val="452B1330"/>
    <w:rsid w:val="45C248DA"/>
    <w:rsid w:val="47610B06"/>
    <w:rsid w:val="478B1E83"/>
    <w:rsid w:val="478D08F6"/>
    <w:rsid w:val="47AD2D46"/>
    <w:rsid w:val="4A301A0D"/>
    <w:rsid w:val="4A6C3EFA"/>
    <w:rsid w:val="4AD9363D"/>
    <w:rsid w:val="4B291AB0"/>
    <w:rsid w:val="4B601E7F"/>
    <w:rsid w:val="4B7C315C"/>
    <w:rsid w:val="4BD72EDE"/>
    <w:rsid w:val="4C071C70"/>
    <w:rsid w:val="4CA77574"/>
    <w:rsid w:val="4F227C18"/>
    <w:rsid w:val="4F3F4BCC"/>
    <w:rsid w:val="500B2971"/>
    <w:rsid w:val="507F7B5F"/>
    <w:rsid w:val="51383FC9"/>
    <w:rsid w:val="51C302FD"/>
    <w:rsid w:val="52391889"/>
    <w:rsid w:val="5373753A"/>
    <w:rsid w:val="53CC27A6"/>
    <w:rsid w:val="53F57F4F"/>
    <w:rsid w:val="54FA08B9"/>
    <w:rsid w:val="550F5041"/>
    <w:rsid w:val="558E2409"/>
    <w:rsid w:val="56833449"/>
    <w:rsid w:val="5728181B"/>
    <w:rsid w:val="5753005B"/>
    <w:rsid w:val="595624D9"/>
    <w:rsid w:val="5B176CA9"/>
    <w:rsid w:val="5CAD081B"/>
    <w:rsid w:val="5D890DB0"/>
    <w:rsid w:val="5E0A2849"/>
    <w:rsid w:val="5EFD26C9"/>
    <w:rsid w:val="5F1A5A81"/>
    <w:rsid w:val="5F281D92"/>
    <w:rsid w:val="5F4E1AD5"/>
    <w:rsid w:val="60C23CE0"/>
    <w:rsid w:val="61160FC9"/>
    <w:rsid w:val="61730705"/>
    <w:rsid w:val="61C5377E"/>
    <w:rsid w:val="6215580D"/>
    <w:rsid w:val="64F77548"/>
    <w:rsid w:val="65404DA2"/>
    <w:rsid w:val="65855928"/>
    <w:rsid w:val="67484D38"/>
    <w:rsid w:val="69EC541B"/>
    <w:rsid w:val="6CAA4964"/>
    <w:rsid w:val="6CDE6A9E"/>
    <w:rsid w:val="6EF80FEA"/>
    <w:rsid w:val="6F1E6ECC"/>
    <w:rsid w:val="6F6827DE"/>
    <w:rsid w:val="70D42979"/>
    <w:rsid w:val="71CC2BAA"/>
    <w:rsid w:val="724B5D84"/>
    <w:rsid w:val="72CA1FB9"/>
    <w:rsid w:val="73611436"/>
    <w:rsid w:val="73B65980"/>
    <w:rsid w:val="75D05CCE"/>
    <w:rsid w:val="76EC33EF"/>
    <w:rsid w:val="78915940"/>
    <w:rsid w:val="7A6960E4"/>
    <w:rsid w:val="7B4F770C"/>
    <w:rsid w:val="7D1E37C3"/>
    <w:rsid w:val="7D69775F"/>
    <w:rsid w:val="7D8B620F"/>
    <w:rsid w:val="7EE06F82"/>
    <w:rsid w:val="7F060EF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99"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qFormat="1" w:unhideWhenUsed="0" w:uiPriority="99" w:semiHidden="0" w:name="HTML Acronym"/>
    <w:lsdException w:uiPriority="99"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sdException w:qFormat="1" w:unhideWhenUsed="0" w:uiPriority="99" w:semiHidden="0" w:name="HTML Preformatted"/>
    <w:lsdException w:uiPriority="99" w:name="HTML Sample"/>
    <w:lsdException w:uiPriority="99"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1"/>
    <w:qFormat/>
    <w:uiPriority w:val="0"/>
    <w:pPr>
      <w:keepNext/>
      <w:keepLines/>
      <w:spacing w:before="340" w:after="330" w:line="576" w:lineRule="auto"/>
      <w:outlineLvl w:val="0"/>
    </w:pPr>
    <w:rPr>
      <w:b/>
      <w:kern w:val="44"/>
      <w:sz w:val="44"/>
    </w:rPr>
  </w:style>
  <w:style w:type="paragraph" w:styleId="4">
    <w:name w:val="heading 2"/>
    <w:basedOn w:val="1"/>
    <w:next w:val="1"/>
    <w:link w:val="42"/>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
      <w:bCs/>
      <w:szCs w:val="32"/>
    </w:rPr>
  </w:style>
  <w:style w:type="paragraph" w:styleId="6">
    <w:name w:val="heading 4"/>
    <w:basedOn w:val="1"/>
    <w:next w:val="1"/>
    <w:link w:val="70"/>
    <w:qFormat/>
    <w:uiPriority w:val="99"/>
    <w:pPr>
      <w:keepNext/>
      <w:keepLines/>
      <w:spacing w:before="280" w:after="290" w:line="376" w:lineRule="auto"/>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50"/>
    <w:qFormat/>
    <w:uiPriority w:val="99"/>
    <w:pPr>
      <w:tabs>
        <w:tab w:val="center" w:pos="4153"/>
        <w:tab w:val="right" w:pos="8306"/>
      </w:tabs>
      <w:snapToGrid w:val="0"/>
      <w:jc w:val="left"/>
    </w:pPr>
    <w:rPr>
      <w:rFonts w:ascii="Calibri" w:hAnsi="Calibri"/>
      <w:kern w:val="0"/>
      <w:sz w:val="18"/>
      <w:szCs w:val="18"/>
    </w:rPr>
  </w:style>
  <w:style w:type="paragraph" w:styleId="7">
    <w:name w:val="index 8"/>
    <w:basedOn w:val="1"/>
    <w:next w:val="1"/>
    <w:qFormat/>
    <w:uiPriority w:val="0"/>
    <w:pPr>
      <w:ind w:left="2940"/>
    </w:pPr>
  </w:style>
  <w:style w:type="paragraph" w:styleId="8">
    <w:name w:val="List Number"/>
    <w:basedOn w:val="1"/>
    <w:qFormat/>
    <w:uiPriority w:val="99"/>
    <w:pPr>
      <w:numPr>
        <w:ilvl w:val="0"/>
        <w:numId w:val="1"/>
      </w:numPr>
    </w:pPr>
  </w:style>
  <w:style w:type="paragraph" w:styleId="9">
    <w:name w:val="Normal Indent"/>
    <w:basedOn w:val="1"/>
    <w:qFormat/>
    <w:uiPriority w:val="99"/>
    <w:pPr>
      <w:ind w:firstLine="420" w:firstLineChars="200"/>
    </w:pPr>
  </w:style>
  <w:style w:type="paragraph" w:styleId="10">
    <w:name w:val="annotation text"/>
    <w:basedOn w:val="1"/>
    <w:link w:val="44"/>
    <w:qFormat/>
    <w:uiPriority w:val="99"/>
    <w:pPr>
      <w:jc w:val="left"/>
    </w:pPr>
  </w:style>
  <w:style w:type="paragraph" w:styleId="11">
    <w:name w:val="Body Text 3"/>
    <w:basedOn w:val="1"/>
    <w:qFormat/>
    <w:uiPriority w:val="99"/>
    <w:pPr>
      <w:spacing w:after="120"/>
    </w:pPr>
    <w:rPr>
      <w:sz w:val="16"/>
      <w:szCs w:val="16"/>
    </w:rPr>
  </w:style>
  <w:style w:type="paragraph" w:styleId="12">
    <w:name w:val="Body Text"/>
    <w:basedOn w:val="1"/>
    <w:next w:val="1"/>
    <w:link w:val="45"/>
    <w:qFormat/>
    <w:uiPriority w:val="99"/>
    <w:rPr>
      <w:rFonts w:ascii="金山简黑体" w:hAnsi="Courier New" w:eastAsia="金山简黑体"/>
      <w:b/>
      <w:spacing w:val="-8"/>
      <w:sz w:val="44"/>
      <w:szCs w:val="20"/>
    </w:rPr>
  </w:style>
  <w:style w:type="paragraph" w:styleId="13">
    <w:name w:val="Body Text Indent"/>
    <w:basedOn w:val="1"/>
    <w:link w:val="46"/>
    <w:qFormat/>
    <w:uiPriority w:val="99"/>
    <w:pPr>
      <w:spacing w:line="200" w:lineRule="exact"/>
      <w:ind w:firstLine="301"/>
    </w:pPr>
    <w:rPr>
      <w:rFonts w:ascii="宋体" w:hAnsi="Courier New"/>
      <w:spacing w:val="-4"/>
      <w:sz w:val="18"/>
      <w:szCs w:val="20"/>
    </w:rPr>
  </w:style>
  <w:style w:type="paragraph" w:styleId="14">
    <w:name w:val="List 2"/>
    <w:basedOn w:val="1"/>
    <w:qFormat/>
    <w:uiPriority w:val="99"/>
    <w:pPr>
      <w:ind w:left="100" w:leftChars="200" w:hanging="200" w:hangingChars="200"/>
      <w:contextualSpacing/>
    </w:pPr>
  </w:style>
  <w:style w:type="paragraph" w:styleId="15">
    <w:name w:val="Plain Text"/>
    <w:basedOn w:val="1"/>
    <w:next w:val="7"/>
    <w:link w:val="48"/>
    <w:qFormat/>
    <w:uiPriority w:val="99"/>
    <w:rPr>
      <w:rFonts w:ascii="宋体" w:hAnsi="Courier New"/>
      <w:kern w:val="0"/>
      <w:sz w:val="20"/>
      <w:szCs w:val="21"/>
    </w:rPr>
  </w:style>
  <w:style w:type="paragraph" w:styleId="16">
    <w:name w:val="Balloon Text"/>
    <w:basedOn w:val="1"/>
    <w:link w:val="49"/>
    <w:qFormat/>
    <w:uiPriority w:val="99"/>
    <w:rPr>
      <w:sz w:val="18"/>
      <w:szCs w:val="18"/>
    </w:rPr>
  </w:style>
  <w:style w:type="paragraph" w:styleId="17">
    <w:name w:val="header"/>
    <w:basedOn w:val="1"/>
    <w:link w:val="5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8">
    <w:name w:val="toc 1"/>
    <w:basedOn w:val="1"/>
    <w:next w:val="1"/>
    <w:qFormat/>
    <w:uiPriority w:val="39"/>
  </w:style>
  <w:style w:type="paragraph" w:styleId="1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0">
    <w:name w:val="HTML Preformatted"/>
    <w:basedOn w:val="1"/>
    <w:link w:val="5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1">
    <w:name w:val="Normal (Web)"/>
    <w:basedOn w:val="1"/>
    <w:qFormat/>
    <w:uiPriority w:val="99"/>
    <w:pPr>
      <w:spacing w:beforeAutospacing="1" w:afterAutospacing="1"/>
      <w:jc w:val="left"/>
    </w:pPr>
    <w:rPr>
      <w:kern w:val="0"/>
      <w:sz w:val="24"/>
    </w:rPr>
  </w:style>
  <w:style w:type="paragraph" w:styleId="22">
    <w:name w:val="Title"/>
    <w:basedOn w:val="1"/>
    <w:next w:val="1"/>
    <w:link w:val="53"/>
    <w:qFormat/>
    <w:uiPriority w:val="99"/>
    <w:pPr>
      <w:spacing w:before="240" w:after="60"/>
      <w:jc w:val="center"/>
      <w:outlineLvl w:val="0"/>
    </w:pPr>
    <w:rPr>
      <w:rFonts w:ascii="Cambria" w:hAnsi="Cambria"/>
      <w:b/>
      <w:bCs/>
      <w:sz w:val="32"/>
      <w:szCs w:val="32"/>
    </w:rPr>
  </w:style>
  <w:style w:type="paragraph" w:styleId="23">
    <w:name w:val="annotation subject"/>
    <w:basedOn w:val="10"/>
    <w:next w:val="10"/>
    <w:link w:val="54"/>
    <w:qFormat/>
    <w:uiPriority w:val="99"/>
    <w:rPr>
      <w:b/>
      <w:bCs/>
    </w:rPr>
  </w:style>
  <w:style w:type="paragraph" w:styleId="24">
    <w:name w:val="Body Text First Indent 2"/>
    <w:basedOn w:val="13"/>
    <w:link w:val="47"/>
    <w:qFormat/>
    <w:uiPriority w:val="99"/>
    <w:pPr>
      <w:spacing w:after="120" w:line="240" w:lineRule="auto"/>
      <w:ind w:left="420" w:leftChars="200" w:firstLine="420" w:firstLineChars="200"/>
    </w:pPr>
    <w:rPr>
      <w:rFonts w:ascii="Calibri" w:hAnsi="Calibri"/>
      <w:spacing w:val="0"/>
      <w:sz w:val="21"/>
      <w:szCs w:val="24"/>
    </w:rPr>
  </w:style>
  <w:style w:type="table" w:styleId="26">
    <w:name w:val="Table Grid"/>
    <w:basedOn w:val="2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qFormat/>
    <w:uiPriority w:val="99"/>
    <w:rPr>
      <w:rFonts w:ascii="Calibri" w:hAnsi="Calibri" w:eastAsia="宋体" w:cs="Times New Roman"/>
    </w:rPr>
  </w:style>
  <w:style w:type="character" w:styleId="29">
    <w:name w:val="FollowedHyperlink"/>
    <w:basedOn w:val="27"/>
    <w:qFormat/>
    <w:uiPriority w:val="99"/>
    <w:rPr>
      <w:rFonts w:cs="Times New Roman"/>
      <w:color w:val="434242"/>
      <w:u w:val="none"/>
    </w:rPr>
  </w:style>
  <w:style w:type="character" w:styleId="30">
    <w:name w:val="Emphasis"/>
    <w:basedOn w:val="27"/>
    <w:qFormat/>
    <w:uiPriority w:val="99"/>
    <w:rPr>
      <w:rFonts w:cs="Times New Roman"/>
    </w:rPr>
  </w:style>
  <w:style w:type="character" w:styleId="31">
    <w:name w:val="HTML Definition"/>
    <w:basedOn w:val="27"/>
    <w:qFormat/>
    <w:uiPriority w:val="99"/>
    <w:rPr>
      <w:rFonts w:cs="Times New Roman"/>
    </w:rPr>
  </w:style>
  <w:style w:type="character" w:styleId="32">
    <w:name w:val="HTML Acronym"/>
    <w:basedOn w:val="27"/>
    <w:qFormat/>
    <w:uiPriority w:val="99"/>
    <w:rPr>
      <w:rFonts w:cs="Times New Roman"/>
    </w:rPr>
  </w:style>
  <w:style w:type="character" w:styleId="33">
    <w:name w:val="HTML Variable"/>
    <w:basedOn w:val="27"/>
    <w:qFormat/>
    <w:uiPriority w:val="99"/>
    <w:rPr>
      <w:rFonts w:cs="Times New Roman"/>
    </w:rPr>
  </w:style>
  <w:style w:type="character" w:styleId="34">
    <w:name w:val="Hyperlink"/>
    <w:basedOn w:val="27"/>
    <w:qFormat/>
    <w:uiPriority w:val="99"/>
    <w:rPr>
      <w:rFonts w:ascii="Calibri" w:hAnsi="Calibri" w:eastAsia="宋体" w:cs="Times New Roman"/>
      <w:color w:val="0000FF"/>
      <w:u w:val="single"/>
    </w:rPr>
  </w:style>
  <w:style w:type="character" w:styleId="35">
    <w:name w:val="HTML Code"/>
    <w:basedOn w:val="27"/>
    <w:qFormat/>
    <w:uiPriority w:val="99"/>
    <w:rPr>
      <w:rFonts w:ascii="Courier New" w:hAnsi="Courier New" w:cs="Times New Roman"/>
      <w:sz w:val="20"/>
    </w:rPr>
  </w:style>
  <w:style w:type="character" w:styleId="36">
    <w:name w:val="annotation reference"/>
    <w:basedOn w:val="27"/>
    <w:qFormat/>
    <w:uiPriority w:val="99"/>
    <w:rPr>
      <w:rFonts w:ascii="Times New Roman" w:hAnsi="Times New Roman" w:eastAsia="宋体" w:cs="Times New Roman"/>
      <w:sz w:val="21"/>
    </w:rPr>
  </w:style>
  <w:style w:type="character" w:styleId="37">
    <w:name w:val="HTML Cite"/>
    <w:basedOn w:val="27"/>
    <w:qFormat/>
    <w:uiPriority w:val="99"/>
    <w:rPr>
      <w:rFonts w:cs="Times New Roman"/>
    </w:rPr>
  </w:style>
  <w:style w:type="paragraph" w:customStyle="1" w:styleId="38">
    <w:name w:val="BodyText"/>
    <w:basedOn w:val="1"/>
    <w:qFormat/>
    <w:uiPriority w:val="0"/>
    <w:pPr>
      <w:spacing w:line="360" w:lineRule="auto"/>
    </w:pPr>
    <w:rPr>
      <w:rFonts w:ascii="Times New Roman" w:hAnsi="Times New Roman"/>
      <w:b/>
      <w:bCs/>
      <w:sz w:val="24"/>
      <w:szCs w:val="24"/>
    </w:rPr>
  </w:style>
  <w:style w:type="paragraph" w:customStyle="1" w:styleId="39">
    <w:name w:val="表格文字"/>
    <w:basedOn w:val="1"/>
    <w:qFormat/>
    <w:uiPriority w:val="99"/>
    <w:pPr>
      <w:spacing w:before="25" w:after="25"/>
      <w:jc w:val="left"/>
    </w:pPr>
    <w:rPr>
      <w:bCs/>
      <w:spacing w:val="10"/>
      <w:kern w:val="0"/>
      <w:sz w:val="24"/>
    </w:rPr>
  </w:style>
  <w:style w:type="paragraph" w:styleId="40">
    <w:name w:val="No Spacing"/>
    <w:qFormat/>
    <w:uiPriority w:val="1"/>
    <w:pPr>
      <w:widowControl w:val="0"/>
      <w:jc w:val="both"/>
    </w:pPr>
    <w:rPr>
      <w:rFonts w:ascii="Calibri" w:hAnsi="Calibri" w:eastAsia="宋体" w:cs="宋体"/>
      <w:kern w:val="2"/>
      <w:sz w:val="21"/>
      <w:szCs w:val="22"/>
      <w:lang w:val="en-US" w:eastAsia="zh-CN" w:bidi="ar-SA"/>
    </w:rPr>
  </w:style>
  <w:style w:type="character" w:customStyle="1" w:styleId="41">
    <w:name w:val="标题 1 Char"/>
    <w:basedOn w:val="27"/>
    <w:link w:val="3"/>
    <w:qFormat/>
    <w:uiPriority w:val="9"/>
    <w:rPr>
      <w:rFonts w:ascii="Times New Roman" w:hAnsi="Times New Roman"/>
      <w:b/>
      <w:bCs/>
      <w:kern w:val="44"/>
      <w:sz w:val="44"/>
      <w:szCs w:val="44"/>
    </w:rPr>
  </w:style>
  <w:style w:type="character" w:customStyle="1" w:styleId="42">
    <w:name w:val="标题 2 Char"/>
    <w:basedOn w:val="27"/>
    <w:link w:val="4"/>
    <w:qFormat/>
    <w:uiPriority w:val="9"/>
    <w:rPr>
      <w:rFonts w:ascii="Cambria" w:hAnsi="Cambria" w:eastAsia="宋体" w:cs="宋体"/>
      <w:b/>
      <w:bCs/>
      <w:sz w:val="32"/>
      <w:szCs w:val="32"/>
    </w:rPr>
  </w:style>
  <w:style w:type="character" w:customStyle="1" w:styleId="43">
    <w:name w:val="Heading 4 Char_75ff61d3-4582-4305-a41b-a96caa7ead77"/>
    <w:basedOn w:val="27"/>
    <w:qFormat/>
    <w:uiPriority w:val="9"/>
    <w:rPr>
      <w:rFonts w:ascii="Cambria" w:hAnsi="Cambria" w:eastAsia="宋体" w:cs="宋体"/>
      <w:b/>
      <w:bCs/>
      <w:sz w:val="28"/>
      <w:szCs w:val="28"/>
    </w:rPr>
  </w:style>
  <w:style w:type="character" w:customStyle="1" w:styleId="44">
    <w:name w:val="批注文字 Char"/>
    <w:basedOn w:val="27"/>
    <w:link w:val="10"/>
    <w:qFormat/>
    <w:uiPriority w:val="99"/>
    <w:rPr>
      <w:rFonts w:ascii="Times New Roman" w:hAnsi="Times New Roman" w:eastAsia="宋体"/>
      <w:kern w:val="2"/>
      <w:sz w:val="24"/>
    </w:rPr>
  </w:style>
  <w:style w:type="character" w:customStyle="1" w:styleId="45">
    <w:name w:val="正文文本 Char"/>
    <w:basedOn w:val="27"/>
    <w:link w:val="12"/>
    <w:qFormat/>
    <w:uiPriority w:val="99"/>
    <w:rPr>
      <w:rFonts w:ascii="Times New Roman" w:hAnsi="Times New Roman"/>
      <w:szCs w:val="24"/>
    </w:rPr>
  </w:style>
  <w:style w:type="character" w:customStyle="1" w:styleId="46">
    <w:name w:val="正文文本缩进 Char"/>
    <w:basedOn w:val="27"/>
    <w:link w:val="13"/>
    <w:qFormat/>
    <w:uiPriority w:val="99"/>
    <w:rPr>
      <w:rFonts w:ascii="Times New Roman" w:hAnsi="Times New Roman"/>
      <w:szCs w:val="24"/>
    </w:rPr>
  </w:style>
  <w:style w:type="character" w:customStyle="1" w:styleId="47">
    <w:name w:val="正文首行缩进 2 Char"/>
    <w:basedOn w:val="46"/>
    <w:link w:val="24"/>
    <w:qFormat/>
    <w:uiPriority w:val="99"/>
    <w:rPr>
      <w:rFonts w:ascii="Times New Roman" w:hAnsi="Times New Roman"/>
      <w:szCs w:val="24"/>
    </w:rPr>
  </w:style>
  <w:style w:type="character" w:customStyle="1" w:styleId="48">
    <w:name w:val="纯文本 Char"/>
    <w:basedOn w:val="27"/>
    <w:link w:val="15"/>
    <w:qFormat/>
    <w:uiPriority w:val="99"/>
    <w:rPr>
      <w:rFonts w:ascii="宋体" w:hAnsi="Courier New" w:cs="Courier New"/>
      <w:szCs w:val="21"/>
    </w:rPr>
  </w:style>
  <w:style w:type="character" w:customStyle="1" w:styleId="49">
    <w:name w:val="批注框文本 Char"/>
    <w:basedOn w:val="27"/>
    <w:link w:val="16"/>
    <w:qFormat/>
    <w:uiPriority w:val="99"/>
    <w:rPr>
      <w:rFonts w:ascii="Times New Roman" w:hAnsi="Times New Roman" w:eastAsia="宋体"/>
      <w:kern w:val="2"/>
      <w:sz w:val="18"/>
    </w:rPr>
  </w:style>
  <w:style w:type="character" w:customStyle="1" w:styleId="50">
    <w:name w:val="页脚 Char"/>
    <w:basedOn w:val="27"/>
    <w:link w:val="2"/>
    <w:qFormat/>
    <w:uiPriority w:val="99"/>
    <w:rPr>
      <w:rFonts w:ascii="Times New Roman" w:hAnsi="Times New Roman"/>
      <w:sz w:val="18"/>
      <w:szCs w:val="18"/>
    </w:rPr>
  </w:style>
  <w:style w:type="character" w:customStyle="1" w:styleId="51">
    <w:name w:val="页眉 Char"/>
    <w:basedOn w:val="27"/>
    <w:link w:val="17"/>
    <w:qFormat/>
    <w:uiPriority w:val="99"/>
    <w:rPr>
      <w:rFonts w:ascii="Times New Roman" w:hAnsi="Times New Roman"/>
      <w:sz w:val="18"/>
      <w:szCs w:val="18"/>
    </w:rPr>
  </w:style>
  <w:style w:type="character" w:customStyle="1" w:styleId="52">
    <w:name w:val="HTML 预设格式 Char"/>
    <w:basedOn w:val="27"/>
    <w:link w:val="20"/>
    <w:qFormat/>
    <w:uiPriority w:val="99"/>
    <w:rPr>
      <w:rFonts w:ascii="Courier New" w:hAnsi="Courier New" w:cs="Courier New"/>
      <w:sz w:val="20"/>
      <w:szCs w:val="20"/>
    </w:rPr>
  </w:style>
  <w:style w:type="character" w:customStyle="1" w:styleId="53">
    <w:name w:val="标题 Char"/>
    <w:basedOn w:val="27"/>
    <w:link w:val="22"/>
    <w:qFormat/>
    <w:uiPriority w:val="10"/>
    <w:rPr>
      <w:rFonts w:ascii="Cambria" w:hAnsi="Cambria" w:cs="宋体"/>
      <w:b/>
      <w:bCs/>
      <w:sz w:val="32"/>
      <w:szCs w:val="32"/>
    </w:rPr>
  </w:style>
  <w:style w:type="character" w:customStyle="1" w:styleId="54">
    <w:name w:val="批注主题 Char"/>
    <w:basedOn w:val="44"/>
    <w:link w:val="23"/>
    <w:qFormat/>
    <w:uiPriority w:val="99"/>
    <w:rPr>
      <w:rFonts w:ascii="Times New Roman" w:hAnsi="Times New Roman" w:eastAsia="宋体"/>
      <w:b/>
      <w:kern w:val="2"/>
      <w:sz w:val="24"/>
    </w:rPr>
  </w:style>
  <w:style w:type="paragraph" w:customStyle="1" w:styleId="55">
    <w:name w:val="样式45"/>
    <w:basedOn w:val="1"/>
    <w:qFormat/>
    <w:uiPriority w:val="99"/>
    <w:pPr>
      <w:adjustRightInd w:val="0"/>
      <w:snapToGrid w:val="0"/>
      <w:spacing w:line="360" w:lineRule="auto"/>
      <w:ind w:firstLine="200" w:firstLineChars="200"/>
    </w:pPr>
    <w:rPr>
      <w:rFonts w:ascii="宋体" w:hAnsi="宋体" w:eastAsia="仿宋_GB2312"/>
      <w:color w:val="000000"/>
      <w:spacing w:val="1"/>
      <w:kern w:val="28"/>
      <w:sz w:val="28"/>
      <w:szCs w:val="28"/>
    </w:rPr>
  </w:style>
  <w:style w:type="paragraph" w:customStyle="1" w:styleId="56">
    <w:name w:val="Normal_35"/>
    <w:qFormat/>
    <w:uiPriority w:val="99"/>
    <w:pPr>
      <w:framePr w:wrap="around" w:vAnchor="margin" w:hAnchor="text" w:y="1"/>
      <w:widowControl w:val="0"/>
      <w:spacing w:before="120" w:after="240"/>
      <w:jc w:val="both"/>
    </w:pPr>
    <w:rPr>
      <w:rFonts w:ascii="Times New Roman" w:hAnsi="Times New Roman" w:eastAsia="宋体" w:cs="Calibri"/>
      <w:color w:val="000000"/>
      <w:sz w:val="22"/>
      <w:szCs w:val="22"/>
      <w:lang w:val="ru-RU" w:eastAsia="zh-CN" w:bidi="ar-SA"/>
    </w:rPr>
  </w:style>
  <w:style w:type="paragraph" w:customStyle="1" w:styleId="57">
    <w:name w:val="WPSOffice手动目录 1"/>
    <w:qFormat/>
    <w:uiPriority w:val="99"/>
    <w:rPr>
      <w:rFonts w:ascii="Times New Roman" w:hAnsi="Times New Roman" w:eastAsia="宋体" w:cs="Times New Roman"/>
      <w:lang w:val="en-US" w:eastAsia="zh-CN" w:bidi="ar-SA"/>
    </w:rPr>
  </w:style>
  <w:style w:type="paragraph" w:customStyle="1" w:styleId="58">
    <w:name w:val="纯文本1"/>
    <w:qFormat/>
    <w:uiPriority w:val="99"/>
    <w:pPr>
      <w:framePr w:wrap="around" w:vAnchor="margin" w:hAnchor="text" w:y="1"/>
      <w:widowControl w:val="0"/>
      <w:jc w:val="both"/>
    </w:pPr>
    <w:rPr>
      <w:rFonts w:ascii="宋体" w:hAnsi="宋体" w:eastAsia="宋体" w:cs="宋体"/>
      <w:color w:val="000000"/>
      <w:kern w:val="2"/>
      <w:sz w:val="21"/>
      <w:szCs w:val="21"/>
      <w:lang w:val="en-US" w:eastAsia="zh-CN" w:bidi="ar-SA"/>
    </w:rPr>
  </w:style>
  <w:style w:type="paragraph" w:customStyle="1" w:styleId="59">
    <w:name w:val="正文 A"/>
    <w:qFormat/>
    <w:uiPriority w:val="99"/>
    <w:pPr>
      <w:framePr w:wrap="around" w:vAnchor="margin" w:hAnchor="text" w:y="1"/>
      <w:widowControl w:val="0"/>
      <w:jc w:val="both"/>
    </w:pPr>
    <w:rPr>
      <w:rFonts w:ascii="Arial Unicode MS" w:hAnsi="Arial Unicode MS" w:eastAsia="宋体" w:cs="Arial Unicode MS"/>
      <w:color w:val="000000"/>
      <w:kern w:val="2"/>
      <w:sz w:val="21"/>
      <w:szCs w:val="21"/>
      <w:lang w:val="zh-TW" w:eastAsia="zh-TW" w:bidi="ar-SA"/>
    </w:rPr>
  </w:style>
  <w:style w:type="character" w:customStyle="1" w:styleId="60">
    <w:name w:val="无"/>
    <w:qFormat/>
    <w:uiPriority w:val="99"/>
  </w:style>
  <w:style w:type="character" w:customStyle="1" w:styleId="61">
    <w:name w:val="textcontents"/>
    <w:qFormat/>
    <w:uiPriority w:val="99"/>
    <w:rPr>
      <w:rFonts w:ascii="Calibri" w:hAnsi="Calibri" w:eastAsia="宋体"/>
    </w:rPr>
  </w:style>
  <w:style w:type="character" w:customStyle="1" w:styleId="62">
    <w:name w:val="first-child"/>
    <w:basedOn w:val="27"/>
    <w:qFormat/>
    <w:uiPriority w:val="99"/>
    <w:rPr>
      <w:rFonts w:cs="Times New Roman"/>
    </w:rPr>
  </w:style>
  <w:style w:type="character" w:customStyle="1" w:styleId="63">
    <w:name w:val="layui-layer-tabnow"/>
    <w:basedOn w:val="27"/>
    <w:qFormat/>
    <w:uiPriority w:val="99"/>
    <w:rPr>
      <w:rFonts w:cs="Times New Roman"/>
      <w:bdr w:val="single" w:color="CCCCCC" w:sz="6" w:space="0"/>
      <w:shd w:val="clear" w:color="auto" w:fill="FFFFFF"/>
    </w:rPr>
  </w:style>
  <w:style w:type="character" w:customStyle="1" w:styleId="64">
    <w:name w:val="first-child1"/>
    <w:basedOn w:val="27"/>
    <w:qFormat/>
    <w:uiPriority w:val="99"/>
    <w:rPr>
      <w:rFonts w:cs="Times New Roman"/>
    </w:rPr>
  </w:style>
  <w:style w:type="paragraph" w:customStyle="1" w:styleId="65">
    <w:name w:val="Table Paragraph"/>
    <w:basedOn w:val="1"/>
    <w:qFormat/>
    <w:uiPriority w:val="99"/>
  </w:style>
  <w:style w:type="paragraph" w:customStyle="1" w:styleId="66">
    <w:name w:val="列出段落1"/>
    <w:basedOn w:val="1"/>
    <w:qFormat/>
    <w:uiPriority w:val="99"/>
    <w:pPr>
      <w:ind w:firstLine="420" w:firstLineChars="200"/>
    </w:pPr>
  </w:style>
  <w:style w:type="character" w:customStyle="1" w:styleId="67">
    <w:name w:val="NormalCharacter"/>
    <w:qFormat/>
    <w:uiPriority w:val="0"/>
  </w:style>
  <w:style w:type="paragraph" w:customStyle="1" w:styleId="68">
    <w:name w:val="plain text Char Char"/>
    <w:basedOn w:val="1"/>
    <w:qFormat/>
    <w:uiPriority w:val="0"/>
    <w:rPr>
      <w:rFonts w:ascii="宋体" w:hAnsi="Courier New"/>
    </w:rPr>
  </w:style>
  <w:style w:type="paragraph" w:customStyle="1" w:styleId="69">
    <w:name w:val="样式 正文缩进 + 首行缩进:  2 字符"/>
    <w:basedOn w:val="9"/>
    <w:qFormat/>
    <w:uiPriority w:val="0"/>
    <w:pPr>
      <w:snapToGrid w:val="0"/>
      <w:spacing w:line="520" w:lineRule="atLeast"/>
      <w:ind w:firstLine="200"/>
    </w:pPr>
    <w:rPr>
      <w:rFonts w:cs="宋体"/>
      <w:sz w:val="28"/>
      <w:szCs w:val="20"/>
    </w:rPr>
  </w:style>
  <w:style w:type="character" w:customStyle="1" w:styleId="70">
    <w:name w:val="标题 4 Char"/>
    <w:basedOn w:val="27"/>
    <w:link w:val="6"/>
    <w:qFormat/>
    <w:uiPriority w:val="9"/>
    <w:rPr>
      <w:rFonts w:ascii="Cambria" w:hAnsi="Cambria" w:eastAsia="宋体" w:cs="宋体"/>
      <w:b/>
      <w:bCs/>
      <w:sz w:val="28"/>
      <w:szCs w:val="28"/>
    </w:rPr>
  </w:style>
  <w:style w:type="paragraph" w:customStyle="1" w:styleId="71">
    <w:name w:val="列表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58</Pages>
  <Words>30293</Words>
  <Characters>31384</Characters>
  <Lines>358</Lines>
  <Paragraphs>101</Paragraphs>
  <TotalTime>1</TotalTime>
  <ScaleCrop>false</ScaleCrop>
  <LinksUpToDate>false</LinksUpToDate>
  <CharactersWithSpaces>33067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2021-08-13T02:10:00Z</dcterms:created>
  <dc:creator>Administrator</dc:creator>
  <cp:lastModifiedBy>一朵小蘑菇  </cp:lastModifiedBy>
  <cp:lastPrinted>2022-05-26T11:43:00Z</cp:lastPrinted>
  <dcterms:modified xsi:type="dcterms:W3CDTF">2023-05-16T01:05:33Z</dcterms:modified>
  <cp:revision>186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5E84E99AC906416E93F65DEC8E409CF3</vt:lpwstr>
  </property>
</Properties>
</file>